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64227D" w14:textId="237B710B" w:rsidR="00BA5D66" w:rsidRDefault="00CD3C0A" w:rsidP="00CE3C2B">
      <w:pPr>
        <w:spacing w:after="480"/>
        <w:rPr>
          <w:rFonts w:eastAsiaTheme="majorEastAsia" w:cstheme="majorBidi"/>
          <w:sz w:val="28"/>
          <w:szCs w:val="40"/>
          <w:lang w:bidi="en-US"/>
        </w:rPr>
      </w:pPr>
      <w:r>
        <w:rPr>
          <w:noProof/>
        </w:rPr>
        <w:drawing>
          <wp:anchor distT="0" distB="0" distL="114300" distR="114300" simplePos="0" relativeHeight="251658245" behindDoc="0" locked="0" layoutInCell="1" allowOverlap="1" wp14:anchorId="11F04CEC" wp14:editId="0355CD22">
            <wp:simplePos x="0" y="0"/>
            <wp:positionH relativeFrom="margin">
              <wp:align>right</wp:align>
            </wp:positionH>
            <wp:positionV relativeFrom="page">
              <wp:posOffset>476739</wp:posOffset>
            </wp:positionV>
            <wp:extent cx="1784085" cy="1353312"/>
            <wp:effectExtent l="0" t="0" r="0" b="0"/>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2Z_StackedLock-up_Vect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4085" cy="1353312"/>
                    </a:xfrm>
                    <a:prstGeom prst="rect">
                      <a:avLst/>
                    </a:prstGeom>
                  </pic:spPr>
                </pic:pic>
              </a:graphicData>
            </a:graphic>
            <wp14:sizeRelH relativeFrom="margin">
              <wp14:pctWidth>0</wp14:pctWidth>
            </wp14:sizeRelH>
            <wp14:sizeRelV relativeFrom="margin">
              <wp14:pctHeight>0</wp14:pctHeight>
            </wp14:sizeRelV>
          </wp:anchor>
        </w:drawing>
      </w:r>
      <w:r w:rsidR="00024F86">
        <w:rPr>
          <w:noProof/>
        </w:rPr>
        <mc:AlternateContent>
          <mc:Choice Requires="wps">
            <w:drawing>
              <wp:anchor distT="45720" distB="45720" distL="114300" distR="114300" simplePos="0" relativeHeight="251660299" behindDoc="0" locked="0" layoutInCell="1" allowOverlap="1" wp14:anchorId="3CD857F3" wp14:editId="4134ACA3">
                <wp:simplePos x="0" y="0"/>
                <wp:positionH relativeFrom="margin">
                  <wp:align>left</wp:align>
                </wp:positionH>
                <wp:positionV relativeFrom="page">
                  <wp:posOffset>15240</wp:posOffset>
                </wp:positionV>
                <wp:extent cx="3246120" cy="1689100"/>
                <wp:effectExtent l="0" t="0" r="11430" b="25400"/>
                <wp:wrapThrough wrapText="bothSides">
                  <wp:wrapPolygon edited="0">
                    <wp:start x="0" y="0"/>
                    <wp:lineTo x="0" y="21681"/>
                    <wp:lineTo x="21549" y="21681"/>
                    <wp:lineTo x="21549"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689100"/>
                        </a:xfrm>
                        <a:prstGeom prst="rect">
                          <a:avLst/>
                        </a:prstGeom>
                        <a:solidFill>
                          <a:schemeClr val="accent1">
                            <a:lumMod val="75000"/>
                          </a:schemeClr>
                        </a:solidFill>
                        <a:ln w="9525">
                          <a:solidFill>
                            <a:schemeClr val="accent1">
                              <a:lumMod val="75000"/>
                            </a:schemeClr>
                          </a:solidFill>
                          <a:miter lim="800000"/>
                          <a:headEnd/>
                          <a:tailEnd/>
                        </a:ln>
                      </wps:spPr>
                      <wps:txbx>
                        <w:txbxContent>
                          <w:p w14:paraId="685EE7DC" w14:textId="77777777" w:rsidR="00291C04" w:rsidRDefault="007C2A62">
                            <w:pPr>
                              <w:rPr>
                                <w:rFonts w:ascii="Century Gothic" w:hAnsi="Century Gothic" w:cs="Dubai Light"/>
                                <w:b/>
                                <w:bCs/>
                                <w:color w:val="FFFFFF" w:themeColor="background1"/>
                                <w:sz w:val="44"/>
                                <w:szCs w:val="44"/>
                              </w:rPr>
                            </w:pPr>
                            <w:r w:rsidRPr="00CE3C2B">
                              <w:rPr>
                                <w:rFonts w:ascii="Century Gothic" w:hAnsi="Century Gothic" w:cs="Dubai Light"/>
                                <w:b/>
                                <w:bCs/>
                                <w:color w:val="FFFFFF" w:themeColor="background1"/>
                                <w:sz w:val="44"/>
                                <w:szCs w:val="44"/>
                              </w:rPr>
                              <w:t xml:space="preserve"> </w:t>
                            </w:r>
                          </w:p>
                          <w:p w14:paraId="29BCF322" w14:textId="77777777" w:rsidR="00291C04" w:rsidRDefault="00291C04">
                            <w:pPr>
                              <w:rPr>
                                <w:rFonts w:ascii="Century Gothic" w:hAnsi="Century Gothic" w:cs="Dubai Light"/>
                                <w:b/>
                                <w:bCs/>
                                <w:color w:val="FFFFFF" w:themeColor="background1"/>
                                <w:sz w:val="44"/>
                                <w:szCs w:val="44"/>
                              </w:rPr>
                            </w:pPr>
                          </w:p>
                          <w:p w14:paraId="2C667D0D" w14:textId="77777777" w:rsidR="00291C04" w:rsidRDefault="00291C04">
                            <w:pPr>
                              <w:rPr>
                                <w:rFonts w:ascii="Century Gothic" w:hAnsi="Century Gothic" w:cs="Dubai Light"/>
                                <w:b/>
                                <w:bCs/>
                                <w:color w:val="FFFFFF" w:themeColor="background1"/>
                                <w:sz w:val="44"/>
                                <w:szCs w:val="44"/>
                              </w:rPr>
                            </w:pPr>
                          </w:p>
                          <w:p w14:paraId="07D26668" w14:textId="72D82E24" w:rsidR="007C2A62" w:rsidRPr="00CE3C2B" w:rsidRDefault="007C2A62">
                            <w:pPr>
                              <w:rPr>
                                <w:rFonts w:ascii="Century Gothic" w:hAnsi="Century Gothic" w:cs="Dubai Light"/>
                                <w:b/>
                                <w:bCs/>
                                <w:color w:val="FFFFFF" w:themeColor="background1"/>
                                <w:sz w:val="44"/>
                                <w:szCs w:val="44"/>
                              </w:rPr>
                            </w:pPr>
                            <w:r w:rsidRPr="00CE3C2B">
                              <w:rPr>
                                <w:rFonts w:ascii="Century Gothic" w:hAnsi="Century Gothic" w:cs="Dubai Light"/>
                                <w:b/>
                                <w:bCs/>
                                <w:color w:val="FFFFFF" w:themeColor="background1"/>
                                <w:sz w:val="44"/>
                                <w:szCs w:val="44"/>
                              </w:rPr>
                              <w:t xml:space="preserve"> </w:t>
                            </w:r>
                            <w:r w:rsidR="00291C04">
                              <w:rPr>
                                <w:rFonts w:ascii="Century Gothic" w:hAnsi="Century Gothic" w:cs="Dubai Light"/>
                                <w:b/>
                                <w:bCs/>
                                <w:color w:val="FFFFFF" w:themeColor="background1"/>
                                <w:sz w:val="44"/>
                                <w:szCs w:val="44"/>
                              </w:rPr>
                              <w:t xml:space="preserve"> </w:t>
                            </w:r>
                            <w:r w:rsidRPr="00CE3C2B">
                              <w:rPr>
                                <w:rFonts w:ascii="Century Gothic" w:hAnsi="Century Gothic" w:cs="Dubai Light"/>
                                <w:b/>
                                <w:bCs/>
                                <w:color w:val="FFFFFF" w:themeColor="background1"/>
                                <w:sz w:val="44"/>
                                <w:szCs w:val="44"/>
                              </w:rPr>
                              <w:t>WHITE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857F3" id="_x0000_t202" coordsize="21600,21600" o:spt="202" path="m,l,21600r21600,l21600,xe">
                <v:stroke joinstyle="miter"/>
                <v:path gradientshapeok="t" o:connecttype="rect"/>
              </v:shapetype>
              <v:shape id="Text Box 2" o:spid="_x0000_s1026" type="#_x0000_t202" style="position:absolute;margin-left:0;margin-top:1.2pt;width:255.6pt;height:133pt;z-index:251660299;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" fillcolor="#365f91 [2404]" strokecolor="#365f91 [2404]">
                <v:textbox>
                  <w:txbxContent>
                    <w:p w14:paraId="685EE7DC" w14:textId="77777777" w:rsidR="00291C04" w:rsidRDefault="007C2A62">
                      <w:pPr>
                        <w:rPr>
                          <w:rFonts w:ascii="Century Gothic" w:hAnsi="Century Gothic" w:cs="Dubai Light"/>
                          <w:b/>
                          <w:bCs/>
                          <w:color w:val="FFFFFF" w:themeColor="background1"/>
                          <w:sz w:val="44"/>
                          <w:szCs w:val="44"/>
                        </w:rPr>
                      </w:pPr>
                      <w:r w:rsidRPr="00CE3C2B">
                        <w:rPr>
                          <w:rFonts w:ascii="Century Gothic" w:hAnsi="Century Gothic" w:cs="Dubai Light"/>
                          <w:b/>
                          <w:bCs/>
                          <w:color w:val="FFFFFF" w:themeColor="background1"/>
                          <w:sz w:val="44"/>
                          <w:szCs w:val="44"/>
                        </w:rPr>
                        <w:t xml:space="preserve"> </w:t>
                      </w:r>
                    </w:p>
                    <w:p w14:paraId="29BCF322" w14:textId="77777777" w:rsidR="00291C04" w:rsidRDefault="00291C04">
                      <w:pPr>
                        <w:rPr>
                          <w:rFonts w:ascii="Century Gothic" w:hAnsi="Century Gothic" w:cs="Dubai Light"/>
                          <w:b/>
                          <w:bCs/>
                          <w:color w:val="FFFFFF" w:themeColor="background1"/>
                          <w:sz w:val="44"/>
                          <w:szCs w:val="44"/>
                        </w:rPr>
                      </w:pPr>
                    </w:p>
                    <w:p w14:paraId="2C667D0D" w14:textId="77777777" w:rsidR="00291C04" w:rsidRDefault="00291C04">
                      <w:pPr>
                        <w:rPr>
                          <w:rFonts w:ascii="Century Gothic" w:hAnsi="Century Gothic" w:cs="Dubai Light"/>
                          <w:b/>
                          <w:bCs/>
                          <w:color w:val="FFFFFF" w:themeColor="background1"/>
                          <w:sz w:val="44"/>
                          <w:szCs w:val="44"/>
                        </w:rPr>
                      </w:pPr>
                    </w:p>
                    <w:p w14:paraId="07D26668" w14:textId="72D82E24" w:rsidR="007C2A62" w:rsidRPr="00CE3C2B" w:rsidRDefault="007C2A62">
                      <w:pPr>
                        <w:rPr>
                          <w:rFonts w:ascii="Century Gothic" w:hAnsi="Century Gothic" w:cs="Dubai Light"/>
                          <w:b/>
                          <w:bCs/>
                          <w:color w:val="FFFFFF" w:themeColor="background1"/>
                          <w:sz w:val="44"/>
                          <w:szCs w:val="44"/>
                        </w:rPr>
                      </w:pPr>
                      <w:r w:rsidRPr="00CE3C2B">
                        <w:rPr>
                          <w:rFonts w:ascii="Century Gothic" w:hAnsi="Century Gothic" w:cs="Dubai Light"/>
                          <w:b/>
                          <w:bCs/>
                          <w:color w:val="FFFFFF" w:themeColor="background1"/>
                          <w:sz w:val="44"/>
                          <w:szCs w:val="44"/>
                        </w:rPr>
                        <w:t xml:space="preserve"> </w:t>
                      </w:r>
                      <w:r w:rsidR="00291C04">
                        <w:rPr>
                          <w:rFonts w:ascii="Century Gothic" w:hAnsi="Century Gothic" w:cs="Dubai Light"/>
                          <w:b/>
                          <w:bCs/>
                          <w:color w:val="FFFFFF" w:themeColor="background1"/>
                          <w:sz w:val="44"/>
                          <w:szCs w:val="44"/>
                        </w:rPr>
                        <w:t xml:space="preserve"> </w:t>
                      </w:r>
                      <w:r w:rsidRPr="00CE3C2B">
                        <w:rPr>
                          <w:rFonts w:ascii="Century Gothic" w:hAnsi="Century Gothic" w:cs="Dubai Light"/>
                          <w:b/>
                          <w:bCs/>
                          <w:color w:val="FFFFFF" w:themeColor="background1"/>
                          <w:sz w:val="44"/>
                          <w:szCs w:val="44"/>
                        </w:rPr>
                        <w:t>WHITE PAPER</w:t>
                      </w:r>
                    </w:p>
                  </w:txbxContent>
                </v:textbox>
                <w10:wrap type="through" anchorx="margin" anchory="page"/>
              </v:shape>
            </w:pict>
          </mc:Fallback>
        </mc:AlternateContent>
      </w:r>
      <w:bookmarkStart w:id="0" w:name="_Hlk13643494"/>
    </w:p>
    <w:p w14:paraId="068C0715" w14:textId="0920247B" w:rsidR="00BA5D66" w:rsidRDefault="00BA5D66" w:rsidP="00BA5D66">
      <w:pPr>
        <w:spacing w:after="120"/>
        <w:rPr>
          <w:rFonts w:eastAsiaTheme="majorEastAsia" w:cstheme="majorBidi"/>
          <w:b/>
          <w:color w:val="8064A2" w:themeColor="accent4"/>
          <w:sz w:val="28"/>
          <w:szCs w:val="40"/>
          <w:lang w:bidi="en-US"/>
        </w:rPr>
      </w:pPr>
      <w:r w:rsidRPr="61573DFA">
        <w:rPr>
          <w:rFonts w:eastAsiaTheme="majorEastAsia" w:cstheme="majorBidi"/>
          <w:b/>
          <w:bCs/>
          <w:color w:val="8064A2" w:themeColor="accent4"/>
          <w:sz w:val="28"/>
          <w:szCs w:val="28"/>
          <w:lang w:bidi="en-US"/>
        </w:rPr>
        <w:t xml:space="preserve">                          </w:t>
      </w:r>
    </w:p>
    <w:bookmarkEnd w:id="0"/>
    <w:p w14:paraId="44F852DF" w14:textId="13A5E663" w:rsidR="00BA5D66" w:rsidRDefault="00BA5D66" w:rsidP="00BA5D66">
      <w:pPr>
        <w:rPr>
          <w:rFonts w:eastAsiaTheme="minorHAnsi" w:cstheme="minorBidi"/>
          <w:color w:val="0F243E" w:themeColor="text2" w:themeShade="80"/>
          <w:sz w:val="22"/>
          <w:szCs w:val="22"/>
        </w:rPr>
      </w:pPr>
    </w:p>
    <w:p w14:paraId="50E7F9D1" w14:textId="77777777" w:rsidR="00CD3C0A" w:rsidRDefault="00CD3C0A" w:rsidP="00BA5D66"/>
    <w:p w14:paraId="1947489A" w14:textId="77777777" w:rsidR="00CD3C0A" w:rsidRDefault="00CD3C0A" w:rsidP="00BA5D66"/>
    <w:p w14:paraId="434E00A5" w14:textId="77777777" w:rsidR="00E35830" w:rsidRDefault="00E35830" w:rsidP="00BA5D66"/>
    <w:p w14:paraId="724DA882" w14:textId="77777777" w:rsidR="0071266F" w:rsidRDefault="0071266F" w:rsidP="00BA5D66"/>
    <w:p w14:paraId="79B33365" w14:textId="77777777" w:rsidR="00E35830" w:rsidRDefault="00E35830" w:rsidP="00BA5D66"/>
    <w:p w14:paraId="071E5B57" w14:textId="77777777" w:rsidR="00E35830" w:rsidRDefault="00E35830" w:rsidP="00BA5D66"/>
    <w:p w14:paraId="2C1FC06C" w14:textId="77777777" w:rsidR="00E35830" w:rsidRDefault="00E35830" w:rsidP="00BA5D66"/>
    <w:p w14:paraId="24FDC256" w14:textId="5E8421DB" w:rsidR="006703CE" w:rsidRPr="00CE3C2B" w:rsidRDefault="006703CE" w:rsidP="006703CE">
      <w:pPr>
        <w:rPr>
          <w:rFonts w:ascii="Franklin Gothic Book" w:hAnsi="Franklin Gothic Book"/>
          <w:color w:val="365F91" w:themeColor="accent1" w:themeShade="BF"/>
          <w:sz w:val="44"/>
          <w:szCs w:val="44"/>
        </w:rPr>
      </w:pPr>
      <w:r w:rsidRPr="00CE3C2B">
        <w:rPr>
          <w:rFonts w:ascii="Franklin Gothic Book" w:hAnsi="Franklin Gothic Book"/>
          <w:color w:val="365F91" w:themeColor="accent1" w:themeShade="BF"/>
          <w:sz w:val="56"/>
          <w:szCs w:val="56"/>
        </w:rPr>
        <w:t>THE BEACHHEAD MODEL</w:t>
      </w:r>
      <w:r w:rsidRPr="00CE3C2B">
        <w:rPr>
          <w:rFonts w:ascii="Franklin Gothic Book" w:hAnsi="Franklin Gothic Book"/>
          <w:color w:val="365F91" w:themeColor="accent1" w:themeShade="BF"/>
          <w:sz w:val="56"/>
          <w:szCs w:val="56"/>
        </w:rPr>
        <w:br/>
      </w:r>
      <w:r w:rsidR="006A5A2E" w:rsidRPr="00CE3C2B">
        <w:rPr>
          <w:rFonts w:ascii="Franklin Gothic Book" w:hAnsi="Franklin Gothic Book"/>
          <w:color w:val="365F91" w:themeColor="accent1" w:themeShade="BF"/>
          <w:sz w:val="56"/>
          <w:szCs w:val="56"/>
        </w:rPr>
        <w:br/>
      </w:r>
      <w:r w:rsidRPr="00CE3C2B">
        <w:rPr>
          <w:rFonts w:ascii="Franklin Gothic Book" w:hAnsi="Franklin Gothic Book"/>
          <w:color w:val="365F91" w:themeColor="accent1" w:themeShade="BF"/>
          <w:sz w:val="44"/>
          <w:szCs w:val="44"/>
        </w:rPr>
        <w:t>CATALYZING MASS-MARKET</w:t>
      </w:r>
    </w:p>
    <w:p w14:paraId="27B6671D" w14:textId="05518F94" w:rsidR="006703CE" w:rsidRPr="00CE3C2B" w:rsidRDefault="006703CE" w:rsidP="006703CE">
      <w:pPr>
        <w:rPr>
          <w:rFonts w:ascii="Franklin Gothic Book" w:hAnsi="Franklin Gothic Book"/>
          <w:color w:val="365F91" w:themeColor="accent1" w:themeShade="BF"/>
          <w:sz w:val="44"/>
          <w:szCs w:val="44"/>
        </w:rPr>
      </w:pPr>
      <w:r w:rsidRPr="00CE3C2B">
        <w:rPr>
          <w:rFonts w:ascii="Franklin Gothic Book" w:hAnsi="Franklin Gothic Book"/>
          <w:color w:val="365F91" w:themeColor="accent1" w:themeShade="BF"/>
          <w:sz w:val="44"/>
          <w:szCs w:val="44"/>
        </w:rPr>
        <w:t>OPPORTUNITIES FOR</w:t>
      </w:r>
    </w:p>
    <w:p w14:paraId="0E142B69" w14:textId="77777777" w:rsidR="006565F7" w:rsidRPr="00CE3C2B" w:rsidRDefault="006703CE" w:rsidP="006703CE">
      <w:pPr>
        <w:rPr>
          <w:rFonts w:ascii="Franklin Gothic Book" w:hAnsi="Franklin Gothic Book"/>
          <w:color w:val="365F91" w:themeColor="accent1" w:themeShade="BF"/>
          <w:sz w:val="44"/>
          <w:szCs w:val="44"/>
        </w:rPr>
      </w:pPr>
      <w:r w:rsidRPr="00CE3C2B">
        <w:rPr>
          <w:rFonts w:ascii="Franklin Gothic Book" w:hAnsi="Franklin Gothic Book"/>
          <w:color w:val="365F91" w:themeColor="accent1" w:themeShade="BF"/>
          <w:sz w:val="44"/>
          <w:szCs w:val="44"/>
        </w:rPr>
        <w:t>ZERO-EMISSION COMMERCIAL VEHICLES</w:t>
      </w:r>
    </w:p>
    <w:p w14:paraId="3581A4AC" w14:textId="77777777" w:rsidR="006565F7" w:rsidRDefault="006565F7" w:rsidP="006703CE">
      <w:pPr>
        <w:rPr>
          <w:rFonts w:ascii="Source Sans Pro" w:hAnsi="Source Sans Pro"/>
          <w:color w:val="365F91" w:themeColor="accent1" w:themeShade="BF"/>
          <w:sz w:val="44"/>
          <w:szCs w:val="44"/>
        </w:rPr>
      </w:pPr>
    </w:p>
    <w:p w14:paraId="4937E064" w14:textId="77777777" w:rsidR="006565F7" w:rsidRDefault="006565F7" w:rsidP="006703CE">
      <w:pPr>
        <w:rPr>
          <w:rFonts w:ascii="Source Sans Pro" w:hAnsi="Source Sans Pro"/>
          <w:color w:val="365F91" w:themeColor="accent1" w:themeShade="BF"/>
          <w:sz w:val="44"/>
          <w:szCs w:val="44"/>
        </w:rPr>
      </w:pPr>
    </w:p>
    <w:p w14:paraId="75F041BC" w14:textId="77777777" w:rsidR="006565F7" w:rsidRDefault="006565F7" w:rsidP="006703CE">
      <w:pPr>
        <w:rPr>
          <w:rFonts w:ascii="Source Sans Pro" w:hAnsi="Source Sans Pro"/>
          <w:color w:val="365F91" w:themeColor="accent1" w:themeShade="BF"/>
          <w:sz w:val="44"/>
          <w:szCs w:val="44"/>
        </w:rPr>
      </w:pPr>
    </w:p>
    <w:p w14:paraId="466E7E48" w14:textId="77777777" w:rsidR="006565F7" w:rsidRDefault="006565F7" w:rsidP="006703CE">
      <w:pPr>
        <w:rPr>
          <w:rFonts w:ascii="Source Sans Pro" w:hAnsi="Source Sans Pro"/>
          <w:color w:val="365F91" w:themeColor="accent1" w:themeShade="BF"/>
          <w:sz w:val="44"/>
          <w:szCs w:val="44"/>
        </w:rPr>
      </w:pPr>
    </w:p>
    <w:p w14:paraId="7AD5A00C" w14:textId="77777777" w:rsidR="00DC158E" w:rsidRDefault="00DC158E" w:rsidP="006703CE">
      <w:pPr>
        <w:rPr>
          <w:rFonts w:ascii="Source Sans Pro" w:hAnsi="Source Sans Pro"/>
          <w:color w:val="365F91" w:themeColor="accent1" w:themeShade="BF"/>
          <w:sz w:val="44"/>
          <w:szCs w:val="44"/>
        </w:rPr>
      </w:pPr>
    </w:p>
    <w:p w14:paraId="2AB0A18B" w14:textId="77777777" w:rsidR="00DC158E" w:rsidRDefault="00DC158E" w:rsidP="006703CE">
      <w:pPr>
        <w:rPr>
          <w:rFonts w:ascii="Source Sans Pro" w:hAnsi="Source Sans Pro"/>
          <w:color w:val="365F91" w:themeColor="accent1" w:themeShade="BF"/>
          <w:sz w:val="44"/>
          <w:szCs w:val="44"/>
        </w:rPr>
      </w:pPr>
    </w:p>
    <w:p w14:paraId="5652125A" w14:textId="77777777" w:rsidR="006565F7" w:rsidRDefault="006565F7" w:rsidP="006703CE">
      <w:pPr>
        <w:rPr>
          <w:rFonts w:ascii="Source Sans Pro" w:hAnsi="Source Sans Pro"/>
          <w:color w:val="365F91" w:themeColor="accent1" w:themeShade="BF"/>
          <w:sz w:val="44"/>
          <w:szCs w:val="44"/>
        </w:rPr>
      </w:pPr>
    </w:p>
    <w:p w14:paraId="32BF3D91" w14:textId="77777777" w:rsidR="0045039B" w:rsidRDefault="0045039B" w:rsidP="006703CE">
      <w:pPr>
        <w:rPr>
          <w:rFonts w:ascii="Source Sans Pro" w:hAnsi="Source Sans Pro"/>
          <w:color w:val="365F91" w:themeColor="accent1" w:themeShade="BF"/>
          <w:sz w:val="36"/>
          <w:szCs w:val="36"/>
        </w:rPr>
      </w:pPr>
    </w:p>
    <w:p w14:paraId="4326E4C1" w14:textId="7C0753AB" w:rsidR="0071266F" w:rsidRDefault="0071266F" w:rsidP="006703CE">
      <w:pPr>
        <w:rPr>
          <w:rFonts w:ascii="Source Sans Pro" w:hAnsi="Source Sans Pro"/>
          <w:color w:val="365F91" w:themeColor="accent1" w:themeShade="BF"/>
          <w:sz w:val="36"/>
          <w:szCs w:val="36"/>
        </w:rPr>
      </w:pPr>
      <w:r>
        <w:rPr>
          <w:rFonts w:ascii="Source Sans Pro" w:hAnsi="Source Sans Pro"/>
          <w:noProof/>
          <w:color w:val="4F81BD" w:themeColor="accent1"/>
          <w:sz w:val="36"/>
          <w:szCs w:val="36"/>
        </w:rPr>
        <mc:AlternateContent>
          <mc:Choice Requires="wps">
            <w:drawing>
              <wp:anchor distT="0" distB="0" distL="114300" distR="114300" simplePos="0" relativeHeight="251661323" behindDoc="0" locked="0" layoutInCell="1" allowOverlap="1" wp14:anchorId="4021B5A4" wp14:editId="4EDD8E67">
                <wp:simplePos x="0" y="0"/>
                <wp:positionH relativeFrom="column">
                  <wp:posOffset>-12700</wp:posOffset>
                </wp:positionH>
                <wp:positionV relativeFrom="paragraph">
                  <wp:posOffset>300355</wp:posOffset>
                </wp:positionV>
                <wp:extent cx="6108700" cy="12700"/>
                <wp:effectExtent l="38100" t="38100" r="63500" b="82550"/>
                <wp:wrapNone/>
                <wp:docPr id="203" name="Straight Connector 203"/>
                <wp:cNvGraphicFramePr/>
                <a:graphic xmlns:a="http://schemas.openxmlformats.org/drawingml/2006/main">
                  <a:graphicData uri="http://schemas.microsoft.com/office/word/2010/wordprocessingShape">
                    <wps:wsp>
                      <wps:cNvCnPr/>
                      <wps:spPr>
                        <a:xfrm>
                          <a:off x="0" y="0"/>
                          <a:ext cx="6108700" cy="1270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B2F7EA6" id="Straight Connector 203" o:spid="_x0000_s1026" style="position:absolute;z-index:251661323;visibility:visible;mso-wrap-style:square;mso-wrap-distance-left:9pt;mso-wrap-distance-top:0;mso-wrap-distance-right:9pt;mso-wrap-distance-bottom:0;mso-position-horizontal:absolute;mso-position-horizontal-relative:text;mso-position-vertical:absolute;mso-position-vertical-relative:text" from="-1pt,23.65pt" to="480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" strokecolor="#4f81bd [3204]" strokeweight="1pt">
                <v:shadow on="t" color="black" opacity="24903f" origin=",.5" offset="0,.55556mm"/>
              </v:line>
            </w:pict>
          </mc:Fallback>
        </mc:AlternateContent>
      </w:r>
    </w:p>
    <w:p w14:paraId="39B52916" w14:textId="77777777" w:rsidR="0071266F" w:rsidRDefault="0071266F" w:rsidP="006703CE">
      <w:pPr>
        <w:rPr>
          <w:rFonts w:ascii="Source Sans Pro" w:hAnsi="Source Sans Pro"/>
          <w:color w:val="365F91" w:themeColor="accent1" w:themeShade="BF"/>
          <w:sz w:val="36"/>
          <w:szCs w:val="36"/>
        </w:rPr>
      </w:pPr>
    </w:p>
    <w:p w14:paraId="74AB3149" w14:textId="2D784ED3" w:rsidR="0045039B" w:rsidRPr="00CE3C2B" w:rsidRDefault="00850A4B" w:rsidP="006703CE">
      <w:pPr>
        <w:rPr>
          <w:rFonts w:ascii="Franklin Gothic Book" w:hAnsi="Franklin Gothic Book"/>
          <w:color w:val="365F91" w:themeColor="accent1" w:themeShade="BF"/>
          <w:sz w:val="32"/>
          <w:szCs w:val="32"/>
        </w:rPr>
      </w:pPr>
      <w:r w:rsidRPr="00CE3C2B">
        <w:rPr>
          <w:rFonts w:ascii="Franklin Gothic Book" w:hAnsi="Franklin Gothic Book"/>
          <w:color w:val="365F91" w:themeColor="accent1" w:themeShade="BF"/>
          <w:sz w:val="32"/>
          <w:szCs w:val="32"/>
        </w:rPr>
        <w:t>Dan Welch, CALSTART</w:t>
      </w:r>
    </w:p>
    <w:p w14:paraId="49D7F851" w14:textId="77777777" w:rsidR="00850A4B" w:rsidRPr="00CE3C2B" w:rsidRDefault="00850A4B" w:rsidP="006703CE">
      <w:pPr>
        <w:rPr>
          <w:rFonts w:ascii="Franklin Gothic Book" w:hAnsi="Franklin Gothic Book"/>
          <w:color w:val="365F91" w:themeColor="accent1" w:themeShade="BF"/>
          <w:sz w:val="32"/>
          <w:szCs w:val="32"/>
        </w:rPr>
      </w:pPr>
    </w:p>
    <w:p w14:paraId="4529A95B" w14:textId="630BFE4C" w:rsidR="00850A4B" w:rsidRPr="00CE3C2B" w:rsidRDefault="00850A4B" w:rsidP="006703CE">
      <w:pPr>
        <w:rPr>
          <w:rFonts w:ascii="Franklin Gothic Book" w:hAnsi="Franklin Gothic Book"/>
          <w:b/>
          <w:bCs/>
          <w:color w:val="365F91" w:themeColor="accent1" w:themeShade="BF"/>
          <w:sz w:val="28"/>
          <w:szCs w:val="28"/>
        </w:rPr>
      </w:pPr>
      <w:r w:rsidRPr="00CE3C2B">
        <w:rPr>
          <w:rFonts w:ascii="Franklin Gothic Book" w:hAnsi="Franklin Gothic Book"/>
          <w:b/>
          <w:bCs/>
          <w:color w:val="365F91" w:themeColor="accent1" w:themeShade="BF"/>
          <w:sz w:val="28"/>
          <w:szCs w:val="28"/>
        </w:rPr>
        <w:t xml:space="preserve">October </w:t>
      </w:r>
      <w:r w:rsidR="0071266F" w:rsidRPr="00CE3C2B">
        <w:rPr>
          <w:rFonts w:ascii="Franklin Gothic Book" w:hAnsi="Franklin Gothic Book"/>
          <w:b/>
          <w:bCs/>
          <w:color w:val="365F91" w:themeColor="accent1" w:themeShade="BF"/>
          <w:sz w:val="28"/>
          <w:szCs w:val="28"/>
        </w:rPr>
        <w:t>2020</w:t>
      </w:r>
    </w:p>
    <w:p w14:paraId="6B7E3B6C" w14:textId="7B2DAB71" w:rsidR="00CD3C0A" w:rsidRPr="00CE3C2B" w:rsidRDefault="00BA5D66" w:rsidP="00CE3C2B">
      <w:pPr>
        <w:rPr>
          <w:rFonts w:ascii="Franklin Gothic Book" w:hAnsi="Franklin Gothic Book"/>
        </w:rPr>
      </w:pPr>
      <w:r w:rsidRPr="00CE3C2B">
        <w:rPr>
          <w:rFonts w:ascii="Franklin Gothic Book" w:hAnsi="Franklin Gothic Book"/>
        </w:rPr>
        <w:br w:type="page"/>
      </w:r>
    </w:p>
    <w:p w14:paraId="7F2DA1A1" w14:textId="77777777" w:rsidR="00CD3C0A" w:rsidRDefault="00CD3C0A" w:rsidP="00BA5D66"/>
    <w:p w14:paraId="2BBE78C8" w14:textId="77777777" w:rsidR="00972B6D" w:rsidRPr="00347C4F" w:rsidRDefault="00972B6D" w:rsidP="0020754E"/>
    <w:p w14:paraId="596E0761" w14:textId="1914EA8A" w:rsidR="00C31F85" w:rsidRPr="00AD5CB7" w:rsidRDefault="00C31F85" w:rsidP="00CE3C2B">
      <w:pPr>
        <w:pStyle w:val="TOCHeading"/>
        <w:rPr>
          <w:sz w:val="40"/>
          <w:szCs w:val="40"/>
        </w:rPr>
      </w:pPr>
      <w:r w:rsidRPr="00CE3C2B">
        <w:rPr>
          <w:rFonts w:ascii="Times New Roman" w:hAnsi="Times New Roman" w:cs="Times New Roman"/>
          <w:sz w:val="40"/>
          <w:szCs w:val="40"/>
        </w:rPr>
        <w:t>Acknowledgements</w:t>
      </w:r>
    </w:p>
    <w:p w14:paraId="7CE174B1" w14:textId="4A205FCA" w:rsidR="009A3C66" w:rsidRDefault="00BD4171" w:rsidP="00CE3C2B">
      <w:pPr>
        <w:spacing w:before="240" w:after="240"/>
        <w:jc w:val="both"/>
        <w:rPr>
          <w:rFonts w:ascii="Garamond" w:hAnsi="Garamond"/>
        </w:rPr>
      </w:pPr>
      <w:r w:rsidRPr="00BD4171">
        <w:rPr>
          <w:rFonts w:ascii="Garamond" w:hAnsi="Garamond"/>
        </w:rPr>
        <w:t xml:space="preserve">This work was conducted with generous support from the </w:t>
      </w:r>
      <w:proofErr w:type="spellStart"/>
      <w:r>
        <w:rPr>
          <w:rFonts w:ascii="Garamond" w:hAnsi="Garamond"/>
        </w:rPr>
        <w:t>ClimateWorks</w:t>
      </w:r>
      <w:proofErr w:type="spellEnd"/>
      <w:r>
        <w:rPr>
          <w:rFonts w:ascii="Garamond" w:hAnsi="Garamond"/>
        </w:rPr>
        <w:t xml:space="preserve"> Foundation and </w:t>
      </w:r>
      <w:r w:rsidR="009F0FEA">
        <w:rPr>
          <w:rFonts w:ascii="Garamond" w:hAnsi="Garamond"/>
        </w:rPr>
        <w:t xml:space="preserve">the William &amp; Flora </w:t>
      </w:r>
      <w:r>
        <w:rPr>
          <w:rFonts w:ascii="Garamond" w:hAnsi="Garamond"/>
        </w:rPr>
        <w:t xml:space="preserve">Hewlett Foundation. </w:t>
      </w:r>
      <w:r w:rsidR="006C0013">
        <w:rPr>
          <w:rFonts w:ascii="Garamond" w:hAnsi="Garamond"/>
        </w:rPr>
        <w:t xml:space="preserve">The author would like to thank the California Air Resources Board for </w:t>
      </w:r>
      <w:r w:rsidR="003C4CF5">
        <w:rPr>
          <w:rFonts w:ascii="Garamond" w:hAnsi="Garamond"/>
        </w:rPr>
        <w:t xml:space="preserve">the collaborative work with CALSTART on their investment plan, which laid the foundation for the beachhead model of innovation. </w:t>
      </w:r>
      <w:r w:rsidRPr="00BD4171">
        <w:rPr>
          <w:rFonts w:ascii="Garamond" w:hAnsi="Garamond"/>
        </w:rPr>
        <w:t xml:space="preserve">The author would </w:t>
      </w:r>
      <w:r w:rsidR="003C4CF5">
        <w:rPr>
          <w:rFonts w:ascii="Garamond" w:hAnsi="Garamond"/>
        </w:rPr>
        <w:t xml:space="preserve">also </w:t>
      </w:r>
      <w:r w:rsidRPr="00BD4171">
        <w:rPr>
          <w:rFonts w:ascii="Garamond" w:hAnsi="Garamond"/>
        </w:rPr>
        <w:t xml:space="preserve">like to thank </w:t>
      </w:r>
      <w:r>
        <w:rPr>
          <w:rFonts w:ascii="Garamond" w:hAnsi="Garamond"/>
        </w:rPr>
        <w:t xml:space="preserve">Ben Mandel, Cristiano Façanha, Owen MacDonnell, and Peter Jenkins </w:t>
      </w:r>
      <w:r w:rsidRPr="00BD4171">
        <w:rPr>
          <w:rFonts w:ascii="Garamond" w:hAnsi="Garamond"/>
        </w:rPr>
        <w:t xml:space="preserve">at </w:t>
      </w:r>
      <w:r>
        <w:rPr>
          <w:rFonts w:ascii="Garamond" w:hAnsi="Garamond"/>
        </w:rPr>
        <w:t>CALSTART</w:t>
      </w:r>
      <w:r w:rsidR="001C62B8">
        <w:rPr>
          <w:rFonts w:ascii="Garamond" w:hAnsi="Garamond"/>
        </w:rPr>
        <w:t xml:space="preserve"> fo</w:t>
      </w:r>
      <w:r w:rsidRPr="00BD4171">
        <w:rPr>
          <w:rFonts w:ascii="Garamond" w:hAnsi="Garamond"/>
        </w:rPr>
        <w:t>r their critical review on an earlier version of this report. Any errors are the author’s own</w:t>
      </w:r>
      <w:r w:rsidR="009A3C66">
        <w:rPr>
          <w:rFonts w:ascii="Garamond" w:hAnsi="Garamond"/>
        </w:rPr>
        <w:t>.</w:t>
      </w:r>
    </w:p>
    <w:p w14:paraId="1483FF03" w14:textId="77777777" w:rsidR="009A3C66" w:rsidRDefault="009A3C66" w:rsidP="009A3C66">
      <w:pPr>
        <w:spacing w:before="240" w:after="240"/>
        <w:rPr>
          <w:rFonts w:ascii="Garamond" w:hAnsi="Garamond"/>
        </w:rPr>
      </w:pPr>
    </w:p>
    <w:p w14:paraId="34CC5652" w14:textId="77777777" w:rsidR="009A3C66" w:rsidRDefault="009A3C66" w:rsidP="009A3C66">
      <w:pPr>
        <w:spacing w:before="240" w:after="240"/>
        <w:rPr>
          <w:rFonts w:ascii="Garamond" w:hAnsi="Garamond"/>
        </w:rPr>
      </w:pPr>
    </w:p>
    <w:p w14:paraId="5762A261" w14:textId="77777777" w:rsidR="009A3C66" w:rsidRDefault="009A3C66" w:rsidP="009A3C66">
      <w:pPr>
        <w:spacing w:before="240" w:after="240"/>
        <w:rPr>
          <w:rFonts w:ascii="Garamond" w:hAnsi="Garamond"/>
        </w:rPr>
      </w:pPr>
    </w:p>
    <w:p w14:paraId="509D7B7D" w14:textId="77777777" w:rsidR="009A3C66" w:rsidRDefault="009A3C66" w:rsidP="009A3C66">
      <w:pPr>
        <w:spacing w:before="240" w:after="240"/>
        <w:rPr>
          <w:rFonts w:ascii="Garamond" w:hAnsi="Garamond"/>
        </w:rPr>
      </w:pPr>
    </w:p>
    <w:p w14:paraId="7BC00A4C" w14:textId="77777777" w:rsidR="009A3C66" w:rsidRDefault="009A3C66" w:rsidP="009A3C66">
      <w:pPr>
        <w:spacing w:before="240" w:after="240"/>
        <w:rPr>
          <w:rFonts w:ascii="Garamond" w:hAnsi="Garamond"/>
        </w:rPr>
      </w:pPr>
    </w:p>
    <w:p w14:paraId="7620AE1F" w14:textId="77777777" w:rsidR="009A3C66" w:rsidRDefault="009A3C66" w:rsidP="009A3C66">
      <w:pPr>
        <w:spacing w:before="240" w:after="240"/>
        <w:rPr>
          <w:rFonts w:ascii="Garamond" w:hAnsi="Garamond"/>
        </w:rPr>
      </w:pPr>
    </w:p>
    <w:p w14:paraId="3ED130AC" w14:textId="77777777" w:rsidR="009A3C66" w:rsidRDefault="009A3C66" w:rsidP="009A3C66">
      <w:pPr>
        <w:spacing w:before="240" w:after="240"/>
        <w:rPr>
          <w:rFonts w:ascii="Garamond" w:hAnsi="Garamond"/>
        </w:rPr>
      </w:pPr>
    </w:p>
    <w:p w14:paraId="47DAA2F4" w14:textId="77777777" w:rsidR="009A3C66" w:rsidRDefault="009A3C66" w:rsidP="009A3C66">
      <w:pPr>
        <w:spacing w:before="240" w:after="240"/>
        <w:rPr>
          <w:rFonts w:ascii="Garamond" w:hAnsi="Garamond"/>
        </w:rPr>
      </w:pPr>
    </w:p>
    <w:p w14:paraId="01FB4C6A" w14:textId="77777777" w:rsidR="009A3C66" w:rsidRDefault="009A3C66" w:rsidP="009A3C66">
      <w:pPr>
        <w:spacing w:before="240" w:after="240"/>
        <w:rPr>
          <w:rFonts w:ascii="Garamond" w:hAnsi="Garamond"/>
        </w:rPr>
      </w:pPr>
    </w:p>
    <w:p w14:paraId="7BEF6449" w14:textId="77777777" w:rsidR="009A3C66" w:rsidRDefault="009A3C66" w:rsidP="009A3C66">
      <w:pPr>
        <w:spacing w:before="240" w:after="240"/>
        <w:rPr>
          <w:rFonts w:ascii="Garamond" w:hAnsi="Garamond"/>
        </w:rPr>
      </w:pPr>
    </w:p>
    <w:p w14:paraId="25BCEDD0" w14:textId="77777777" w:rsidR="009A3C66" w:rsidRDefault="009A3C66" w:rsidP="009A3C66">
      <w:pPr>
        <w:spacing w:before="240" w:after="240"/>
        <w:rPr>
          <w:rFonts w:ascii="Garamond" w:hAnsi="Garamond"/>
        </w:rPr>
      </w:pPr>
    </w:p>
    <w:p w14:paraId="6EF9ABB0" w14:textId="77777777" w:rsidR="009A3C66" w:rsidRDefault="009A3C66" w:rsidP="009A3C66">
      <w:pPr>
        <w:spacing w:before="240" w:after="240"/>
        <w:rPr>
          <w:rFonts w:ascii="Garamond" w:hAnsi="Garamond"/>
        </w:rPr>
      </w:pPr>
    </w:p>
    <w:p w14:paraId="63D0F41F" w14:textId="77777777" w:rsidR="009A3C66" w:rsidRDefault="009A3C66" w:rsidP="009A3C66">
      <w:pPr>
        <w:spacing w:before="240" w:after="240"/>
        <w:rPr>
          <w:rFonts w:ascii="Garamond" w:hAnsi="Garamon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3055"/>
      </w:tblGrid>
      <w:tr w:rsidR="009A3C66" w14:paraId="61DC6F58" w14:textId="77777777" w:rsidTr="004D2219">
        <w:tc>
          <w:tcPr>
            <w:tcW w:w="6295" w:type="dxa"/>
          </w:tcPr>
          <w:p w14:paraId="482C99D8" w14:textId="77777777" w:rsidR="009A3C66" w:rsidRPr="004D2219" w:rsidRDefault="009A3C66" w:rsidP="009A3C66">
            <w:pPr>
              <w:spacing w:before="240" w:after="240"/>
              <w:rPr>
                <w:rFonts w:ascii="Garamond" w:hAnsi="Garamond"/>
                <w:b/>
                <w:bCs/>
                <w:color w:val="1F497D" w:themeColor="text2"/>
                <w:sz w:val="32"/>
                <w:szCs w:val="32"/>
              </w:rPr>
            </w:pPr>
            <w:r w:rsidRPr="004D2219">
              <w:rPr>
                <w:rFonts w:ascii="Garamond" w:hAnsi="Garamond"/>
                <w:b/>
                <w:bCs/>
                <w:color w:val="1F497D" w:themeColor="text2"/>
                <w:sz w:val="32"/>
                <w:szCs w:val="32"/>
              </w:rPr>
              <w:t>Global Commercial Vehicle Drive to Zero</w:t>
            </w:r>
          </w:p>
          <w:p w14:paraId="7216CA3C" w14:textId="77777777" w:rsidR="009A3C66" w:rsidRPr="009A3C66" w:rsidRDefault="009A3C66" w:rsidP="009A3C66">
            <w:pPr>
              <w:spacing w:before="240" w:after="240"/>
              <w:rPr>
                <w:rFonts w:ascii="Garamond" w:hAnsi="Garamond"/>
              </w:rPr>
            </w:pPr>
            <w:r w:rsidRPr="009A3C66">
              <w:rPr>
                <w:rFonts w:ascii="Garamond" w:hAnsi="Garamond"/>
              </w:rPr>
              <w:t>wwww.globaldrivetozero.org</w:t>
            </w:r>
          </w:p>
          <w:p w14:paraId="652F3256" w14:textId="14840B1C" w:rsidR="009A3C66" w:rsidRDefault="009A3C66" w:rsidP="009A3C66">
            <w:pPr>
              <w:spacing w:before="240" w:after="240"/>
              <w:rPr>
                <w:rFonts w:ascii="Garamond" w:hAnsi="Garamond"/>
              </w:rPr>
            </w:pPr>
            <w:r w:rsidRPr="009A3C66">
              <w:rPr>
                <w:rFonts w:ascii="Garamond" w:hAnsi="Garamond"/>
              </w:rPr>
              <w:t>@TeamDriveToZero</w:t>
            </w:r>
          </w:p>
        </w:tc>
        <w:tc>
          <w:tcPr>
            <w:tcW w:w="3055" w:type="dxa"/>
          </w:tcPr>
          <w:p w14:paraId="3D18F674" w14:textId="77777777" w:rsidR="009A3C66" w:rsidRPr="004D2219" w:rsidRDefault="009A3C66" w:rsidP="009A3C66">
            <w:pPr>
              <w:spacing w:before="240" w:after="240"/>
              <w:rPr>
                <w:rFonts w:ascii="Garamond" w:hAnsi="Garamond"/>
                <w:b/>
                <w:bCs/>
                <w:color w:val="1F497D" w:themeColor="text2"/>
                <w:sz w:val="36"/>
                <w:szCs w:val="36"/>
              </w:rPr>
            </w:pPr>
            <w:r w:rsidRPr="004D2219">
              <w:rPr>
                <w:rFonts w:ascii="Garamond" w:hAnsi="Garamond"/>
                <w:b/>
                <w:bCs/>
                <w:color w:val="1F497D" w:themeColor="text2"/>
                <w:sz w:val="36"/>
                <w:szCs w:val="36"/>
              </w:rPr>
              <w:t>CALSTART</w:t>
            </w:r>
          </w:p>
          <w:p w14:paraId="01B38EE5" w14:textId="77777777" w:rsidR="009A3C66" w:rsidRPr="009A3C66" w:rsidRDefault="009A3C66" w:rsidP="009A3C66">
            <w:pPr>
              <w:spacing w:before="240" w:after="240"/>
              <w:rPr>
                <w:rFonts w:ascii="Garamond" w:hAnsi="Garamond"/>
              </w:rPr>
            </w:pPr>
            <w:r w:rsidRPr="009A3C66">
              <w:rPr>
                <w:rFonts w:ascii="Garamond" w:hAnsi="Garamond"/>
              </w:rPr>
              <w:t>www.calstart.org</w:t>
            </w:r>
          </w:p>
          <w:p w14:paraId="5EAB049A" w14:textId="607D96FE" w:rsidR="009A3C66" w:rsidRDefault="009A3C66" w:rsidP="009A3C66">
            <w:pPr>
              <w:spacing w:before="240" w:after="240"/>
              <w:rPr>
                <w:rFonts w:ascii="Garamond" w:hAnsi="Garamond"/>
              </w:rPr>
            </w:pPr>
            <w:r w:rsidRPr="009A3C66">
              <w:rPr>
                <w:rFonts w:ascii="Garamond" w:hAnsi="Garamond"/>
              </w:rPr>
              <w:t>@calstart</w:t>
            </w:r>
          </w:p>
        </w:tc>
      </w:tr>
    </w:tbl>
    <w:p w14:paraId="5B12613D" w14:textId="39338F7D" w:rsidR="001C6554" w:rsidRDefault="001C6554">
      <w:pPr>
        <w:spacing w:line="276" w:lineRule="auto"/>
      </w:pPr>
    </w:p>
    <w:p w14:paraId="415850DA" w14:textId="0A88CBA0" w:rsidR="008765B6" w:rsidRDefault="008765B6" w:rsidP="008765B6">
      <w:pPr>
        <w:pStyle w:val="Heading1"/>
      </w:pPr>
      <w:bookmarkStart w:id="1" w:name="_Toc53065354"/>
      <w:r>
        <w:lastRenderedPageBreak/>
        <w:t>Table of Contents</w:t>
      </w:r>
      <w:bookmarkEnd w:id="1"/>
    </w:p>
    <w:p w14:paraId="37C09281" w14:textId="095ADFC7" w:rsidR="00991384" w:rsidRDefault="004B43F5">
      <w:pPr>
        <w:pStyle w:val="TOC1"/>
        <w:tabs>
          <w:tab w:val="right" w:leader="dot" w:pos="9350"/>
        </w:tabs>
        <w:rPr>
          <w:rFonts w:asciiTheme="minorHAnsi" w:eastAsiaTheme="minorEastAsia" w:hAnsiTheme="minorHAnsi" w:cstheme="minorBidi"/>
          <w:noProof/>
          <w:sz w:val="22"/>
          <w:szCs w:val="22"/>
        </w:rPr>
      </w:pPr>
      <w:r w:rsidRPr="001D488A">
        <w:fldChar w:fldCharType="begin"/>
      </w:r>
      <w:r w:rsidRPr="005D3AB1">
        <w:instrText xml:space="preserve"> TOC \o "1-3" \h \z \u </w:instrText>
      </w:r>
      <w:r w:rsidRPr="001D488A">
        <w:fldChar w:fldCharType="separate"/>
      </w:r>
      <w:hyperlink w:anchor="_Toc53065354" w:history="1">
        <w:r w:rsidR="00991384" w:rsidRPr="00461206">
          <w:rPr>
            <w:rStyle w:val="Hyperlink"/>
            <w:noProof/>
          </w:rPr>
          <w:t>Table of Contents</w:t>
        </w:r>
        <w:r w:rsidR="00991384">
          <w:rPr>
            <w:noProof/>
            <w:webHidden/>
          </w:rPr>
          <w:tab/>
        </w:r>
        <w:r w:rsidR="00991384">
          <w:rPr>
            <w:noProof/>
            <w:webHidden/>
          </w:rPr>
          <w:fldChar w:fldCharType="begin"/>
        </w:r>
        <w:r w:rsidR="00991384">
          <w:rPr>
            <w:noProof/>
            <w:webHidden/>
          </w:rPr>
          <w:instrText xml:space="preserve"> PAGEREF _Toc53065354 \h </w:instrText>
        </w:r>
        <w:r w:rsidR="00991384">
          <w:rPr>
            <w:noProof/>
            <w:webHidden/>
          </w:rPr>
        </w:r>
        <w:r w:rsidR="00991384">
          <w:rPr>
            <w:noProof/>
            <w:webHidden/>
          </w:rPr>
          <w:fldChar w:fldCharType="separate"/>
        </w:r>
        <w:r w:rsidR="009B3C0A">
          <w:rPr>
            <w:noProof/>
            <w:webHidden/>
          </w:rPr>
          <w:t>3</w:t>
        </w:r>
        <w:r w:rsidR="00991384">
          <w:rPr>
            <w:noProof/>
            <w:webHidden/>
          </w:rPr>
          <w:fldChar w:fldCharType="end"/>
        </w:r>
      </w:hyperlink>
    </w:p>
    <w:p w14:paraId="71C1381A" w14:textId="11568C46" w:rsidR="00991384" w:rsidRDefault="00991384">
      <w:pPr>
        <w:pStyle w:val="TOC1"/>
        <w:tabs>
          <w:tab w:val="right" w:leader="dot" w:pos="9350"/>
        </w:tabs>
        <w:rPr>
          <w:rFonts w:asciiTheme="minorHAnsi" w:eastAsiaTheme="minorEastAsia" w:hAnsiTheme="minorHAnsi" w:cstheme="minorBidi"/>
          <w:noProof/>
          <w:sz w:val="22"/>
          <w:szCs w:val="22"/>
        </w:rPr>
      </w:pPr>
      <w:hyperlink w:anchor="_Toc53065355" w:history="1">
        <w:r w:rsidRPr="00461206">
          <w:rPr>
            <w:rStyle w:val="Hyperlink"/>
            <w:noProof/>
          </w:rPr>
          <w:t>Table of Figures</w:t>
        </w:r>
        <w:r>
          <w:rPr>
            <w:noProof/>
            <w:webHidden/>
          </w:rPr>
          <w:tab/>
        </w:r>
        <w:r>
          <w:rPr>
            <w:noProof/>
            <w:webHidden/>
          </w:rPr>
          <w:fldChar w:fldCharType="begin"/>
        </w:r>
        <w:r>
          <w:rPr>
            <w:noProof/>
            <w:webHidden/>
          </w:rPr>
          <w:instrText xml:space="preserve"> PAGEREF _Toc53065355 \h </w:instrText>
        </w:r>
        <w:r>
          <w:rPr>
            <w:noProof/>
            <w:webHidden/>
          </w:rPr>
        </w:r>
        <w:r>
          <w:rPr>
            <w:noProof/>
            <w:webHidden/>
          </w:rPr>
          <w:fldChar w:fldCharType="separate"/>
        </w:r>
        <w:r w:rsidR="009B3C0A">
          <w:rPr>
            <w:noProof/>
            <w:webHidden/>
          </w:rPr>
          <w:t>4</w:t>
        </w:r>
        <w:r>
          <w:rPr>
            <w:noProof/>
            <w:webHidden/>
          </w:rPr>
          <w:fldChar w:fldCharType="end"/>
        </w:r>
      </w:hyperlink>
    </w:p>
    <w:p w14:paraId="1C922419" w14:textId="5D47CCB5" w:rsidR="00991384" w:rsidRDefault="00991384">
      <w:pPr>
        <w:pStyle w:val="TOC1"/>
        <w:tabs>
          <w:tab w:val="right" w:leader="dot" w:pos="9350"/>
        </w:tabs>
        <w:rPr>
          <w:rFonts w:asciiTheme="minorHAnsi" w:eastAsiaTheme="minorEastAsia" w:hAnsiTheme="minorHAnsi" w:cstheme="minorBidi"/>
          <w:noProof/>
          <w:sz w:val="22"/>
          <w:szCs w:val="22"/>
        </w:rPr>
      </w:pPr>
      <w:hyperlink w:anchor="_Toc53065356" w:history="1">
        <w:r w:rsidRPr="00461206">
          <w:rPr>
            <w:rStyle w:val="Hyperlink"/>
            <w:noProof/>
          </w:rPr>
          <w:t>Table of Tables</w:t>
        </w:r>
        <w:r>
          <w:rPr>
            <w:noProof/>
            <w:webHidden/>
          </w:rPr>
          <w:tab/>
        </w:r>
        <w:r>
          <w:rPr>
            <w:noProof/>
            <w:webHidden/>
          </w:rPr>
          <w:fldChar w:fldCharType="begin"/>
        </w:r>
        <w:r>
          <w:rPr>
            <w:noProof/>
            <w:webHidden/>
          </w:rPr>
          <w:instrText xml:space="preserve"> PAGEREF _Toc53065356 \h </w:instrText>
        </w:r>
        <w:r>
          <w:rPr>
            <w:noProof/>
            <w:webHidden/>
          </w:rPr>
        </w:r>
        <w:r>
          <w:rPr>
            <w:noProof/>
            <w:webHidden/>
          </w:rPr>
          <w:fldChar w:fldCharType="separate"/>
        </w:r>
        <w:r w:rsidR="009B3C0A">
          <w:rPr>
            <w:noProof/>
            <w:webHidden/>
          </w:rPr>
          <w:t>4</w:t>
        </w:r>
        <w:r>
          <w:rPr>
            <w:noProof/>
            <w:webHidden/>
          </w:rPr>
          <w:fldChar w:fldCharType="end"/>
        </w:r>
      </w:hyperlink>
    </w:p>
    <w:p w14:paraId="2D7FA73A" w14:textId="5AE4F687" w:rsidR="00991384" w:rsidRDefault="00991384">
      <w:pPr>
        <w:pStyle w:val="TOC1"/>
        <w:tabs>
          <w:tab w:val="right" w:leader="dot" w:pos="9350"/>
        </w:tabs>
        <w:rPr>
          <w:rFonts w:asciiTheme="minorHAnsi" w:eastAsiaTheme="minorEastAsia" w:hAnsiTheme="minorHAnsi" w:cstheme="minorBidi"/>
          <w:noProof/>
          <w:sz w:val="22"/>
          <w:szCs w:val="22"/>
        </w:rPr>
      </w:pPr>
      <w:hyperlink w:anchor="_Toc53065357" w:history="1">
        <w:r w:rsidRPr="00461206">
          <w:rPr>
            <w:rStyle w:val="Hyperlink"/>
            <w:noProof/>
          </w:rPr>
          <w:t>Definitions of Acronyms</w:t>
        </w:r>
        <w:r>
          <w:rPr>
            <w:noProof/>
            <w:webHidden/>
          </w:rPr>
          <w:tab/>
        </w:r>
        <w:r>
          <w:rPr>
            <w:noProof/>
            <w:webHidden/>
          </w:rPr>
          <w:fldChar w:fldCharType="begin"/>
        </w:r>
        <w:r>
          <w:rPr>
            <w:noProof/>
            <w:webHidden/>
          </w:rPr>
          <w:instrText xml:space="preserve"> PAGEREF _Toc53065357 \h </w:instrText>
        </w:r>
        <w:r>
          <w:rPr>
            <w:noProof/>
            <w:webHidden/>
          </w:rPr>
        </w:r>
        <w:r>
          <w:rPr>
            <w:noProof/>
            <w:webHidden/>
          </w:rPr>
          <w:fldChar w:fldCharType="separate"/>
        </w:r>
        <w:r w:rsidR="009B3C0A">
          <w:rPr>
            <w:noProof/>
            <w:webHidden/>
          </w:rPr>
          <w:t>5</w:t>
        </w:r>
        <w:r>
          <w:rPr>
            <w:noProof/>
            <w:webHidden/>
          </w:rPr>
          <w:fldChar w:fldCharType="end"/>
        </w:r>
      </w:hyperlink>
    </w:p>
    <w:p w14:paraId="153F353D" w14:textId="51AD8CD7" w:rsidR="00991384" w:rsidRDefault="00991384">
      <w:pPr>
        <w:pStyle w:val="TOC1"/>
        <w:tabs>
          <w:tab w:val="right" w:leader="dot" w:pos="9350"/>
        </w:tabs>
        <w:rPr>
          <w:rFonts w:asciiTheme="minorHAnsi" w:eastAsiaTheme="minorEastAsia" w:hAnsiTheme="minorHAnsi" w:cstheme="minorBidi"/>
          <w:noProof/>
          <w:sz w:val="22"/>
          <w:szCs w:val="22"/>
        </w:rPr>
      </w:pPr>
      <w:hyperlink w:anchor="_Toc53065358" w:history="1">
        <w:r w:rsidRPr="00461206">
          <w:rPr>
            <w:rStyle w:val="Hyperlink"/>
            <w:noProof/>
          </w:rPr>
          <w:t>Introduction</w:t>
        </w:r>
        <w:r>
          <w:rPr>
            <w:noProof/>
            <w:webHidden/>
          </w:rPr>
          <w:tab/>
        </w:r>
        <w:r>
          <w:rPr>
            <w:noProof/>
            <w:webHidden/>
          </w:rPr>
          <w:fldChar w:fldCharType="begin"/>
        </w:r>
        <w:r>
          <w:rPr>
            <w:noProof/>
            <w:webHidden/>
          </w:rPr>
          <w:instrText xml:space="preserve"> PAGEREF _Toc53065358 \h </w:instrText>
        </w:r>
        <w:r>
          <w:rPr>
            <w:noProof/>
            <w:webHidden/>
          </w:rPr>
        </w:r>
        <w:r>
          <w:rPr>
            <w:noProof/>
            <w:webHidden/>
          </w:rPr>
          <w:fldChar w:fldCharType="separate"/>
        </w:r>
        <w:r w:rsidR="009B3C0A">
          <w:rPr>
            <w:noProof/>
            <w:webHidden/>
          </w:rPr>
          <w:t>6</w:t>
        </w:r>
        <w:r>
          <w:rPr>
            <w:noProof/>
            <w:webHidden/>
          </w:rPr>
          <w:fldChar w:fldCharType="end"/>
        </w:r>
      </w:hyperlink>
    </w:p>
    <w:p w14:paraId="34EA1E7B" w14:textId="621F5E4A" w:rsidR="00991384" w:rsidRDefault="00991384">
      <w:pPr>
        <w:pStyle w:val="TOC1"/>
        <w:tabs>
          <w:tab w:val="right" w:leader="dot" w:pos="9350"/>
        </w:tabs>
        <w:rPr>
          <w:rFonts w:asciiTheme="minorHAnsi" w:eastAsiaTheme="minorEastAsia" w:hAnsiTheme="minorHAnsi" w:cstheme="minorBidi"/>
          <w:noProof/>
          <w:sz w:val="22"/>
          <w:szCs w:val="22"/>
        </w:rPr>
      </w:pPr>
      <w:hyperlink w:anchor="_Toc53065359" w:history="1">
        <w:r w:rsidRPr="00461206">
          <w:rPr>
            <w:rStyle w:val="Hyperlink"/>
            <w:noProof/>
          </w:rPr>
          <w:t>Chapter 1. First-Success “Beachhead” Applications</w:t>
        </w:r>
        <w:r>
          <w:rPr>
            <w:noProof/>
            <w:webHidden/>
          </w:rPr>
          <w:tab/>
        </w:r>
        <w:r>
          <w:rPr>
            <w:noProof/>
            <w:webHidden/>
          </w:rPr>
          <w:fldChar w:fldCharType="begin"/>
        </w:r>
        <w:r>
          <w:rPr>
            <w:noProof/>
            <w:webHidden/>
          </w:rPr>
          <w:instrText xml:space="preserve"> PAGEREF _Toc53065359 \h </w:instrText>
        </w:r>
        <w:r>
          <w:rPr>
            <w:noProof/>
            <w:webHidden/>
          </w:rPr>
        </w:r>
        <w:r>
          <w:rPr>
            <w:noProof/>
            <w:webHidden/>
          </w:rPr>
          <w:fldChar w:fldCharType="separate"/>
        </w:r>
        <w:r w:rsidR="009B3C0A">
          <w:rPr>
            <w:noProof/>
            <w:webHidden/>
          </w:rPr>
          <w:t>8</w:t>
        </w:r>
        <w:r>
          <w:rPr>
            <w:noProof/>
            <w:webHidden/>
          </w:rPr>
          <w:fldChar w:fldCharType="end"/>
        </w:r>
      </w:hyperlink>
    </w:p>
    <w:p w14:paraId="14A02CCD" w14:textId="581C6AE0" w:rsidR="00991384" w:rsidRDefault="00991384">
      <w:pPr>
        <w:pStyle w:val="TOC2"/>
        <w:tabs>
          <w:tab w:val="right" w:leader="dot" w:pos="9350"/>
        </w:tabs>
        <w:rPr>
          <w:rFonts w:asciiTheme="minorHAnsi" w:eastAsiaTheme="minorEastAsia" w:hAnsiTheme="minorHAnsi" w:cstheme="minorBidi"/>
          <w:noProof/>
          <w:sz w:val="22"/>
          <w:szCs w:val="22"/>
        </w:rPr>
      </w:pPr>
      <w:hyperlink w:anchor="_Toc53065360" w:history="1">
        <w:r w:rsidRPr="00461206">
          <w:rPr>
            <w:rStyle w:val="Hyperlink"/>
            <w:noProof/>
          </w:rPr>
          <w:t>Successive Vehicle and Technology Applications</w:t>
        </w:r>
        <w:r>
          <w:rPr>
            <w:noProof/>
            <w:webHidden/>
          </w:rPr>
          <w:tab/>
        </w:r>
        <w:r>
          <w:rPr>
            <w:noProof/>
            <w:webHidden/>
          </w:rPr>
          <w:fldChar w:fldCharType="begin"/>
        </w:r>
        <w:r>
          <w:rPr>
            <w:noProof/>
            <w:webHidden/>
          </w:rPr>
          <w:instrText xml:space="preserve"> PAGEREF _Toc53065360 \h </w:instrText>
        </w:r>
        <w:r>
          <w:rPr>
            <w:noProof/>
            <w:webHidden/>
          </w:rPr>
        </w:r>
        <w:r>
          <w:rPr>
            <w:noProof/>
            <w:webHidden/>
          </w:rPr>
          <w:fldChar w:fldCharType="separate"/>
        </w:r>
        <w:r w:rsidR="009B3C0A">
          <w:rPr>
            <w:noProof/>
            <w:webHidden/>
          </w:rPr>
          <w:t>9</w:t>
        </w:r>
        <w:r>
          <w:rPr>
            <w:noProof/>
            <w:webHidden/>
          </w:rPr>
          <w:fldChar w:fldCharType="end"/>
        </w:r>
      </w:hyperlink>
    </w:p>
    <w:p w14:paraId="5FE37F53" w14:textId="1DC6E442" w:rsidR="00991384" w:rsidRDefault="00991384">
      <w:pPr>
        <w:pStyle w:val="TOC2"/>
        <w:tabs>
          <w:tab w:val="right" w:leader="dot" w:pos="9350"/>
        </w:tabs>
        <w:rPr>
          <w:rFonts w:asciiTheme="minorHAnsi" w:eastAsiaTheme="minorEastAsia" w:hAnsiTheme="minorHAnsi" w:cstheme="minorBidi"/>
          <w:noProof/>
          <w:sz w:val="22"/>
          <w:szCs w:val="22"/>
        </w:rPr>
      </w:pPr>
      <w:hyperlink w:anchor="_Toc53065361" w:history="1">
        <w:r w:rsidRPr="00461206">
          <w:rPr>
            <w:rStyle w:val="Hyperlink"/>
            <w:noProof/>
          </w:rPr>
          <w:t>Infrastructure Needs and Strategies for Emerging Technologies</w:t>
        </w:r>
        <w:r>
          <w:rPr>
            <w:noProof/>
            <w:webHidden/>
          </w:rPr>
          <w:tab/>
        </w:r>
        <w:r>
          <w:rPr>
            <w:noProof/>
            <w:webHidden/>
          </w:rPr>
          <w:fldChar w:fldCharType="begin"/>
        </w:r>
        <w:r>
          <w:rPr>
            <w:noProof/>
            <w:webHidden/>
          </w:rPr>
          <w:instrText xml:space="preserve"> PAGEREF _Toc53065361 \h </w:instrText>
        </w:r>
        <w:r>
          <w:rPr>
            <w:noProof/>
            <w:webHidden/>
          </w:rPr>
        </w:r>
        <w:r>
          <w:rPr>
            <w:noProof/>
            <w:webHidden/>
          </w:rPr>
          <w:fldChar w:fldCharType="separate"/>
        </w:r>
        <w:r w:rsidR="009B3C0A">
          <w:rPr>
            <w:noProof/>
            <w:webHidden/>
          </w:rPr>
          <w:t>13</w:t>
        </w:r>
        <w:r>
          <w:rPr>
            <w:noProof/>
            <w:webHidden/>
          </w:rPr>
          <w:fldChar w:fldCharType="end"/>
        </w:r>
      </w:hyperlink>
    </w:p>
    <w:p w14:paraId="35987E9A" w14:textId="22287C92" w:rsidR="00991384" w:rsidRDefault="00991384">
      <w:pPr>
        <w:pStyle w:val="TOC2"/>
        <w:tabs>
          <w:tab w:val="right" w:leader="dot" w:pos="9350"/>
        </w:tabs>
        <w:rPr>
          <w:rFonts w:asciiTheme="minorHAnsi" w:eastAsiaTheme="minorEastAsia" w:hAnsiTheme="minorHAnsi" w:cstheme="minorBidi"/>
          <w:noProof/>
          <w:sz w:val="22"/>
          <w:szCs w:val="22"/>
        </w:rPr>
      </w:pPr>
      <w:hyperlink w:anchor="_Toc53065362" w:history="1">
        <w:r w:rsidRPr="00461206">
          <w:rPr>
            <w:rStyle w:val="Hyperlink"/>
            <w:noProof/>
          </w:rPr>
          <w:t>Practical Examples of Beachhead Progress</w:t>
        </w:r>
        <w:r>
          <w:rPr>
            <w:noProof/>
            <w:webHidden/>
          </w:rPr>
          <w:tab/>
        </w:r>
        <w:r>
          <w:rPr>
            <w:noProof/>
            <w:webHidden/>
          </w:rPr>
          <w:fldChar w:fldCharType="begin"/>
        </w:r>
        <w:r>
          <w:rPr>
            <w:noProof/>
            <w:webHidden/>
          </w:rPr>
          <w:instrText xml:space="preserve"> PAGEREF _Toc53065362 \h </w:instrText>
        </w:r>
        <w:r>
          <w:rPr>
            <w:noProof/>
            <w:webHidden/>
          </w:rPr>
        </w:r>
        <w:r>
          <w:rPr>
            <w:noProof/>
            <w:webHidden/>
          </w:rPr>
          <w:fldChar w:fldCharType="separate"/>
        </w:r>
        <w:r w:rsidR="009B3C0A">
          <w:rPr>
            <w:noProof/>
            <w:webHidden/>
          </w:rPr>
          <w:t>14</w:t>
        </w:r>
        <w:r>
          <w:rPr>
            <w:noProof/>
            <w:webHidden/>
          </w:rPr>
          <w:fldChar w:fldCharType="end"/>
        </w:r>
      </w:hyperlink>
    </w:p>
    <w:p w14:paraId="363D9F8E" w14:textId="54F4977B" w:rsidR="00991384" w:rsidRDefault="00991384">
      <w:pPr>
        <w:pStyle w:val="TOC1"/>
        <w:tabs>
          <w:tab w:val="right" w:leader="dot" w:pos="9350"/>
        </w:tabs>
        <w:rPr>
          <w:rFonts w:asciiTheme="minorHAnsi" w:eastAsiaTheme="minorEastAsia" w:hAnsiTheme="minorHAnsi" w:cstheme="minorBidi"/>
          <w:noProof/>
          <w:sz w:val="22"/>
          <w:szCs w:val="22"/>
        </w:rPr>
      </w:pPr>
      <w:hyperlink w:anchor="_Toc53065363" w:history="1">
        <w:r w:rsidRPr="00461206">
          <w:rPr>
            <w:rStyle w:val="Hyperlink"/>
            <w:noProof/>
          </w:rPr>
          <w:t>Chapter 2. Technology Transfer</w:t>
        </w:r>
        <w:r>
          <w:rPr>
            <w:noProof/>
            <w:webHidden/>
          </w:rPr>
          <w:tab/>
        </w:r>
        <w:r>
          <w:rPr>
            <w:noProof/>
            <w:webHidden/>
          </w:rPr>
          <w:fldChar w:fldCharType="begin"/>
        </w:r>
        <w:r>
          <w:rPr>
            <w:noProof/>
            <w:webHidden/>
          </w:rPr>
          <w:instrText xml:space="preserve"> PAGEREF _Toc53065363 \h </w:instrText>
        </w:r>
        <w:r>
          <w:rPr>
            <w:noProof/>
            <w:webHidden/>
          </w:rPr>
        </w:r>
        <w:r>
          <w:rPr>
            <w:noProof/>
            <w:webHidden/>
          </w:rPr>
          <w:fldChar w:fldCharType="separate"/>
        </w:r>
        <w:r w:rsidR="009B3C0A">
          <w:rPr>
            <w:noProof/>
            <w:webHidden/>
          </w:rPr>
          <w:t>18</w:t>
        </w:r>
        <w:r>
          <w:rPr>
            <w:noProof/>
            <w:webHidden/>
          </w:rPr>
          <w:fldChar w:fldCharType="end"/>
        </w:r>
      </w:hyperlink>
    </w:p>
    <w:p w14:paraId="751EDA9B" w14:textId="0E5133B6" w:rsidR="00991384" w:rsidRDefault="00991384">
      <w:pPr>
        <w:pStyle w:val="TOC2"/>
        <w:tabs>
          <w:tab w:val="right" w:leader="dot" w:pos="9350"/>
        </w:tabs>
        <w:rPr>
          <w:rFonts w:asciiTheme="minorHAnsi" w:eastAsiaTheme="minorEastAsia" w:hAnsiTheme="minorHAnsi" w:cstheme="minorBidi"/>
          <w:noProof/>
          <w:sz w:val="22"/>
          <w:szCs w:val="22"/>
        </w:rPr>
      </w:pPr>
      <w:hyperlink w:anchor="_Toc53065364" w:history="1">
        <w:r w:rsidRPr="00461206">
          <w:rPr>
            <w:rStyle w:val="Hyperlink"/>
            <w:noProof/>
          </w:rPr>
          <w:t>Component Transfer and Manufacturing Innovation within Open and Closed System Applications</w:t>
        </w:r>
        <w:r>
          <w:rPr>
            <w:noProof/>
            <w:webHidden/>
          </w:rPr>
          <w:tab/>
        </w:r>
        <w:r>
          <w:rPr>
            <w:noProof/>
            <w:webHidden/>
          </w:rPr>
          <w:fldChar w:fldCharType="begin"/>
        </w:r>
        <w:r>
          <w:rPr>
            <w:noProof/>
            <w:webHidden/>
          </w:rPr>
          <w:instrText xml:space="preserve"> PAGEREF _Toc53065364 \h </w:instrText>
        </w:r>
        <w:r>
          <w:rPr>
            <w:noProof/>
            <w:webHidden/>
          </w:rPr>
        </w:r>
        <w:r>
          <w:rPr>
            <w:noProof/>
            <w:webHidden/>
          </w:rPr>
          <w:fldChar w:fldCharType="separate"/>
        </w:r>
        <w:r w:rsidR="009B3C0A">
          <w:rPr>
            <w:noProof/>
            <w:webHidden/>
          </w:rPr>
          <w:t>18</w:t>
        </w:r>
        <w:r>
          <w:rPr>
            <w:noProof/>
            <w:webHidden/>
          </w:rPr>
          <w:fldChar w:fldCharType="end"/>
        </w:r>
      </w:hyperlink>
    </w:p>
    <w:p w14:paraId="3BB56C36" w14:textId="27517E83" w:rsidR="00991384" w:rsidRDefault="00991384">
      <w:pPr>
        <w:pStyle w:val="TOC3"/>
        <w:tabs>
          <w:tab w:val="right" w:leader="dot" w:pos="9350"/>
        </w:tabs>
        <w:rPr>
          <w:rFonts w:asciiTheme="minorHAnsi" w:eastAsiaTheme="minorEastAsia" w:hAnsiTheme="minorHAnsi" w:cstheme="minorBidi"/>
          <w:noProof/>
          <w:sz w:val="22"/>
          <w:szCs w:val="22"/>
        </w:rPr>
      </w:pPr>
      <w:hyperlink w:anchor="_Toc53065365" w:history="1">
        <w:r w:rsidRPr="00461206">
          <w:rPr>
            <w:rStyle w:val="Hyperlink"/>
            <w:noProof/>
          </w:rPr>
          <w:t>On-Road / Open System Innovations</w:t>
        </w:r>
        <w:r>
          <w:rPr>
            <w:noProof/>
            <w:webHidden/>
          </w:rPr>
          <w:tab/>
        </w:r>
        <w:r>
          <w:rPr>
            <w:noProof/>
            <w:webHidden/>
          </w:rPr>
          <w:fldChar w:fldCharType="begin"/>
        </w:r>
        <w:r>
          <w:rPr>
            <w:noProof/>
            <w:webHidden/>
          </w:rPr>
          <w:instrText xml:space="preserve"> PAGEREF _Toc53065365 \h </w:instrText>
        </w:r>
        <w:r>
          <w:rPr>
            <w:noProof/>
            <w:webHidden/>
          </w:rPr>
        </w:r>
        <w:r>
          <w:rPr>
            <w:noProof/>
            <w:webHidden/>
          </w:rPr>
          <w:fldChar w:fldCharType="separate"/>
        </w:r>
        <w:r w:rsidR="009B3C0A">
          <w:rPr>
            <w:noProof/>
            <w:webHidden/>
          </w:rPr>
          <w:t>20</w:t>
        </w:r>
        <w:r>
          <w:rPr>
            <w:noProof/>
            <w:webHidden/>
          </w:rPr>
          <w:fldChar w:fldCharType="end"/>
        </w:r>
      </w:hyperlink>
    </w:p>
    <w:p w14:paraId="3A052FDB" w14:textId="4DDB67EF" w:rsidR="00991384" w:rsidRDefault="00991384">
      <w:pPr>
        <w:pStyle w:val="TOC3"/>
        <w:tabs>
          <w:tab w:val="right" w:leader="dot" w:pos="9350"/>
        </w:tabs>
        <w:rPr>
          <w:rFonts w:asciiTheme="minorHAnsi" w:eastAsiaTheme="minorEastAsia" w:hAnsiTheme="minorHAnsi" w:cstheme="minorBidi"/>
          <w:noProof/>
          <w:sz w:val="22"/>
          <w:szCs w:val="22"/>
        </w:rPr>
      </w:pPr>
      <w:hyperlink w:anchor="_Toc53065366" w:history="1">
        <w:r w:rsidRPr="00461206">
          <w:rPr>
            <w:rStyle w:val="Hyperlink"/>
            <w:noProof/>
          </w:rPr>
          <w:t>Off-Road / Closed System Innovations</w:t>
        </w:r>
        <w:r>
          <w:rPr>
            <w:noProof/>
            <w:webHidden/>
          </w:rPr>
          <w:tab/>
        </w:r>
        <w:r>
          <w:rPr>
            <w:noProof/>
            <w:webHidden/>
          </w:rPr>
          <w:fldChar w:fldCharType="begin"/>
        </w:r>
        <w:r>
          <w:rPr>
            <w:noProof/>
            <w:webHidden/>
          </w:rPr>
          <w:instrText xml:space="preserve"> PAGEREF _Toc53065366 \h </w:instrText>
        </w:r>
        <w:r>
          <w:rPr>
            <w:noProof/>
            <w:webHidden/>
          </w:rPr>
        </w:r>
        <w:r>
          <w:rPr>
            <w:noProof/>
            <w:webHidden/>
          </w:rPr>
          <w:fldChar w:fldCharType="separate"/>
        </w:r>
        <w:r w:rsidR="009B3C0A">
          <w:rPr>
            <w:noProof/>
            <w:webHidden/>
          </w:rPr>
          <w:t>21</w:t>
        </w:r>
        <w:r>
          <w:rPr>
            <w:noProof/>
            <w:webHidden/>
          </w:rPr>
          <w:fldChar w:fldCharType="end"/>
        </w:r>
      </w:hyperlink>
    </w:p>
    <w:p w14:paraId="7409AF09" w14:textId="29D4F2A4" w:rsidR="00991384" w:rsidRDefault="00991384">
      <w:pPr>
        <w:pStyle w:val="TOC3"/>
        <w:tabs>
          <w:tab w:val="right" w:leader="dot" w:pos="9350"/>
        </w:tabs>
        <w:rPr>
          <w:rFonts w:asciiTheme="minorHAnsi" w:eastAsiaTheme="minorEastAsia" w:hAnsiTheme="minorHAnsi" w:cstheme="minorBidi"/>
          <w:noProof/>
          <w:sz w:val="22"/>
          <w:szCs w:val="22"/>
        </w:rPr>
      </w:pPr>
      <w:hyperlink w:anchor="_Toc53065367" w:history="1">
        <w:r w:rsidRPr="00461206">
          <w:rPr>
            <w:rStyle w:val="Hyperlink"/>
            <w:noProof/>
          </w:rPr>
          <w:t>Technology Transfer Between Systems</w:t>
        </w:r>
        <w:r>
          <w:rPr>
            <w:noProof/>
            <w:webHidden/>
          </w:rPr>
          <w:tab/>
        </w:r>
        <w:r>
          <w:rPr>
            <w:noProof/>
            <w:webHidden/>
          </w:rPr>
          <w:fldChar w:fldCharType="begin"/>
        </w:r>
        <w:r>
          <w:rPr>
            <w:noProof/>
            <w:webHidden/>
          </w:rPr>
          <w:instrText xml:space="preserve"> PAGEREF _Toc53065367 \h </w:instrText>
        </w:r>
        <w:r>
          <w:rPr>
            <w:noProof/>
            <w:webHidden/>
          </w:rPr>
        </w:r>
        <w:r>
          <w:rPr>
            <w:noProof/>
            <w:webHidden/>
          </w:rPr>
          <w:fldChar w:fldCharType="separate"/>
        </w:r>
        <w:r w:rsidR="009B3C0A">
          <w:rPr>
            <w:noProof/>
            <w:webHidden/>
          </w:rPr>
          <w:t>21</w:t>
        </w:r>
        <w:r>
          <w:rPr>
            <w:noProof/>
            <w:webHidden/>
          </w:rPr>
          <w:fldChar w:fldCharType="end"/>
        </w:r>
      </w:hyperlink>
    </w:p>
    <w:p w14:paraId="328CDB3D" w14:textId="1DDA2DEE" w:rsidR="00991384" w:rsidRDefault="00991384">
      <w:pPr>
        <w:pStyle w:val="TOC2"/>
        <w:tabs>
          <w:tab w:val="right" w:leader="dot" w:pos="9350"/>
        </w:tabs>
        <w:rPr>
          <w:rFonts w:asciiTheme="minorHAnsi" w:eastAsiaTheme="minorEastAsia" w:hAnsiTheme="minorHAnsi" w:cstheme="minorBidi"/>
          <w:noProof/>
          <w:sz w:val="22"/>
          <w:szCs w:val="22"/>
        </w:rPr>
      </w:pPr>
      <w:hyperlink w:anchor="_Toc53065368" w:history="1">
        <w:r w:rsidRPr="00461206">
          <w:rPr>
            <w:rStyle w:val="Hyperlink"/>
            <w:noProof/>
          </w:rPr>
          <w:t>Manufacturing Improvements</w:t>
        </w:r>
        <w:r>
          <w:rPr>
            <w:noProof/>
            <w:webHidden/>
          </w:rPr>
          <w:tab/>
        </w:r>
        <w:r>
          <w:rPr>
            <w:noProof/>
            <w:webHidden/>
          </w:rPr>
          <w:fldChar w:fldCharType="begin"/>
        </w:r>
        <w:r>
          <w:rPr>
            <w:noProof/>
            <w:webHidden/>
          </w:rPr>
          <w:instrText xml:space="preserve"> PAGEREF _Toc53065368 \h </w:instrText>
        </w:r>
        <w:r>
          <w:rPr>
            <w:noProof/>
            <w:webHidden/>
          </w:rPr>
        </w:r>
        <w:r>
          <w:rPr>
            <w:noProof/>
            <w:webHidden/>
          </w:rPr>
          <w:fldChar w:fldCharType="separate"/>
        </w:r>
        <w:r w:rsidR="009B3C0A">
          <w:rPr>
            <w:noProof/>
            <w:webHidden/>
          </w:rPr>
          <w:t>22</w:t>
        </w:r>
        <w:r>
          <w:rPr>
            <w:noProof/>
            <w:webHidden/>
          </w:rPr>
          <w:fldChar w:fldCharType="end"/>
        </w:r>
      </w:hyperlink>
    </w:p>
    <w:p w14:paraId="60C38D72" w14:textId="44D3F049" w:rsidR="00991384" w:rsidRDefault="00991384">
      <w:pPr>
        <w:pStyle w:val="TOC2"/>
        <w:tabs>
          <w:tab w:val="right" w:leader="dot" w:pos="9350"/>
        </w:tabs>
        <w:rPr>
          <w:rFonts w:asciiTheme="minorHAnsi" w:eastAsiaTheme="minorEastAsia" w:hAnsiTheme="minorHAnsi" w:cstheme="minorBidi"/>
          <w:noProof/>
          <w:sz w:val="22"/>
          <w:szCs w:val="22"/>
        </w:rPr>
      </w:pPr>
      <w:hyperlink w:anchor="_Toc53065369" w:history="1">
        <w:r w:rsidRPr="00461206">
          <w:rPr>
            <w:rStyle w:val="Hyperlink"/>
            <w:noProof/>
          </w:rPr>
          <w:t>Process Improvements</w:t>
        </w:r>
        <w:r>
          <w:rPr>
            <w:noProof/>
            <w:webHidden/>
          </w:rPr>
          <w:tab/>
        </w:r>
        <w:r>
          <w:rPr>
            <w:noProof/>
            <w:webHidden/>
          </w:rPr>
          <w:fldChar w:fldCharType="begin"/>
        </w:r>
        <w:r>
          <w:rPr>
            <w:noProof/>
            <w:webHidden/>
          </w:rPr>
          <w:instrText xml:space="preserve"> PAGEREF _Toc53065369 \h </w:instrText>
        </w:r>
        <w:r>
          <w:rPr>
            <w:noProof/>
            <w:webHidden/>
          </w:rPr>
        </w:r>
        <w:r>
          <w:rPr>
            <w:noProof/>
            <w:webHidden/>
          </w:rPr>
          <w:fldChar w:fldCharType="separate"/>
        </w:r>
        <w:r w:rsidR="009B3C0A">
          <w:rPr>
            <w:noProof/>
            <w:webHidden/>
          </w:rPr>
          <w:t>23</w:t>
        </w:r>
        <w:r>
          <w:rPr>
            <w:noProof/>
            <w:webHidden/>
          </w:rPr>
          <w:fldChar w:fldCharType="end"/>
        </w:r>
      </w:hyperlink>
    </w:p>
    <w:p w14:paraId="491649E5" w14:textId="0B5883DC" w:rsidR="00991384" w:rsidRDefault="00991384">
      <w:pPr>
        <w:pStyle w:val="TOC1"/>
        <w:tabs>
          <w:tab w:val="right" w:leader="dot" w:pos="9350"/>
        </w:tabs>
        <w:rPr>
          <w:rFonts w:asciiTheme="minorHAnsi" w:eastAsiaTheme="minorEastAsia" w:hAnsiTheme="minorHAnsi" w:cstheme="minorBidi"/>
          <w:noProof/>
          <w:sz w:val="22"/>
          <w:szCs w:val="22"/>
        </w:rPr>
      </w:pPr>
      <w:hyperlink w:anchor="_Toc53065370" w:history="1">
        <w:r w:rsidRPr="00461206">
          <w:rPr>
            <w:rStyle w:val="Hyperlink"/>
            <w:noProof/>
          </w:rPr>
          <w:t>Chapter 3. Supportive Policy Ecosystems</w:t>
        </w:r>
        <w:r>
          <w:rPr>
            <w:noProof/>
            <w:webHidden/>
          </w:rPr>
          <w:tab/>
        </w:r>
        <w:r>
          <w:rPr>
            <w:noProof/>
            <w:webHidden/>
          </w:rPr>
          <w:fldChar w:fldCharType="begin"/>
        </w:r>
        <w:r>
          <w:rPr>
            <w:noProof/>
            <w:webHidden/>
          </w:rPr>
          <w:instrText xml:space="preserve"> PAGEREF _Toc53065370 \h </w:instrText>
        </w:r>
        <w:r>
          <w:rPr>
            <w:noProof/>
            <w:webHidden/>
          </w:rPr>
        </w:r>
        <w:r>
          <w:rPr>
            <w:noProof/>
            <w:webHidden/>
          </w:rPr>
          <w:fldChar w:fldCharType="separate"/>
        </w:r>
        <w:r w:rsidR="009B3C0A">
          <w:rPr>
            <w:noProof/>
            <w:webHidden/>
          </w:rPr>
          <w:t>25</w:t>
        </w:r>
        <w:r>
          <w:rPr>
            <w:noProof/>
            <w:webHidden/>
          </w:rPr>
          <w:fldChar w:fldCharType="end"/>
        </w:r>
      </w:hyperlink>
    </w:p>
    <w:p w14:paraId="771DBD37" w14:textId="3FAFDBB6" w:rsidR="00991384" w:rsidRDefault="00991384">
      <w:pPr>
        <w:pStyle w:val="TOC2"/>
        <w:tabs>
          <w:tab w:val="right" w:leader="dot" w:pos="9350"/>
        </w:tabs>
        <w:rPr>
          <w:rFonts w:asciiTheme="minorHAnsi" w:eastAsiaTheme="minorEastAsia" w:hAnsiTheme="minorHAnsi" w:cstheme="minorBidi"/>
          <w:noProof/>
          <w:sz w:val="22"/>
          <w:szCs w:val="22"/>
        </w:rPr>
      </w:pPr>
      <w:hyperlink w:anchor="_Toc53065371" w:history="1">
        <w:r w:rsidRPr="00461206">
          <w:rPr>
            <w:rStyle w:val="Hyperlink"/>
            <w:noProof/>
          </w:rPr>
          <w:t>Conditions for Successful Beachhead Applications</w:t>
        </w:r>
        <w:r>
          <w:rPr>
            <w:noProof/>
            <w:webHidden/>
          </w:rPr>
          <w:tab/>
        </w:r>
        <w:r>
          <w:rPr>
            <w:noProof/>
            <w:webHidden/>
          </w:rPr>
          <w:fldChar w:fldCharType="begin"/>
        </w:r>
        <w:r>
          <w:rPr>
            <w:noProof/>
            <w:webHidden/>
          </w:rPr>
          <w:instrText xml:space="preserve"> PAGEREF _Toc53065371 \h </w:instrText>
        </w:r>
        <w:r>
          <w:rPr>
            <w:noProof/>
            <w:webHidden/>
          </w:rPr>
        </w:r>
        <w:r>
          <w:rPr>
            <w:noProof/>
            <w:webHidden/>
          </w:rPr>
          <w:fldChar w:fldCharType="separate"/>
        </w:r>
        <w:r w:rsidR="009B3C0A">
          <w:rPr>
            <w:noProof/>
            <w:webHidden/>
          </w:rPr>
          <w:t>25</w:t>
        </w:r>
        <w:r>
          <w:rPr>
            <w:noProof/>
            <w:webHidden/>
          </w:rPr>
          <w:fldChar w:fldCharType="end"/>
        </w:r>
      </w:hyperlink>
    </w:p>
    <w:p w14:paraId="4AF0DDD1" w14:textId="26EA4CA5" w:rsidR="00991384" w:rsidRDefault="00991384">
      <w:pPr>
        <w:pStyle w:val="TOC2"/>
        <w:tabs>
          <w:tab w:val="right" w:leader="dot" w:pos="9350"/>
        </w:tabs>
        <w:rPr>
          <w:rFonts w:asciiTheme="minorHAnsi" w:eastAsiaTheme="minorEastAsia" w:hAnsiTheme="minorHAnsi" w:cstheme="minorBidi"/>
          <w:noProof/>
          <w:sz w:val="22"/>
          <w:szCs w:val="22"/>
        </w:rPr>
      </w:pPr>
      <w:hyperlink w:anchor="_Toc53065372" w:history="1">
        <w:r w:rsidRPr="00461206">
          <w:rPr>
            <w:rStyle w:val="Hyperlink"/>
            <w:noProof/>
          </w:rPr>
          <w:t>Enabling Policies</w:t>
        </w:r>
        <w:r>
          <w:rPr>
            <w:noProof/>
            <w:webHidden/>
          </w:rPr>
          <w:tab/>
        </w:r>
        <w:r>
          <w:rPr>
            <w:noProof/>
            <w:webHidden/>
          </w:rPr>
          <w:fldChar w:fldCharType="begin"/>
        </w:r>
        <w:r>
          <w:rPr>
            <w:noProof/>
            <w:webHidden/>
          </w:rPr>
          <w:instrText xml:space="preserve"> PAGEREF _Toc53065372 \h </w:instrText>
        </w:r>
        <w:r>
          <w:rPr>
            <w:noProof/>
            <w:webHidden/>
          </w:rPr>
        </w:r>
        <w:r>
          <w:rPr>
            <w:noProof/>
            <w:webHidden/>
          </w:rPr>
          <w:fldChar w:fldCharType="separate"/>
        </w:r>
        <w:r w:rsidR="009B3C0A">
          <w:rPr>
            <w:noProof/>
            <w:webHidden/>
          </w:rPr>
          <w:t>27</w:t>
        </w:r>
        <w:r>
          <w:rPr>
            <w:noProof/>
            <w:webHidden/>
          </w:rPr>
          <w:fldChar w:fldCharType="end"/>
        </w:r>
      </w:hyperlink>
    </w:p>
    <w:p w14:paraId="157A7811" w14:textId="4559387D" w:rsidR="00991384" w:rsidRDefault="00991384">
      <w:pPr>
        <w:pStyle w:val="TOC1"/>
        <w:tabs>
          <w:tab w:val="right" w:leader="dot" w:pos="9350"/>
        </w:tabs>
        <w:rPr>
          <w:rFonts w:asciiTheme="minorHAnsi" w:eastAsiaTheme="minorEastAsia" w:hAnsiTheme="minorHAnsi" w:cstheme="minorBidi"/>
          <w:noProof/>
          <w:sz w:val="22"/>
          <w:szCs w:val="22"/>
        </w:rPr>
      </w:pPr>
      <w:hyperlink w:anchor="_Toc53065373" w:history="1">
        <w:r w:rsidRPr="00461206">
          <w:rPr>
            <w:rStyle w:val="Hyperlink"/>
            <w:noProof/>
          </w:rPr>
          <w:t>Recommendations</w:t>
        </w:r>
        <w:r>
          <w:rPr>
            <w:noProof/>
            <w:webHidden/>
          </w:rPr>
          <w:tab/>
        </w:r>
        <w:r>
          <w:rPr>
            <w:noProof/>
            <w:webHidden/>
          </w:rPr>
          <w:fldChar w:fldCharType="begin"/>
        </w:r>
        <w:r>
          <w:rPr>
            <w:noProof/>
            <w:webHidden/>
          </w:rPr>
          <w:instrText xml:space="preserve"> PAGEREF _Toc53065373 \h </w:instrText>
        </w:r>
        <w:r>
          <w:rPr>
            <w:noProof/>
            <w:webHidden/>
          </w:rPr>
        </w:r>
        <w:r>
          <w:rPr>
            <w:noProof/>
            <w:webHidden/>
          </w:rPr>
          <w:fldChar w:fldCharType="separate"/>
        </w:r>
        <w:r w:rsidR="009B3C0A">
          <w:rPr>
            <w:noProof/>
            <w:webHidden/>
          </w:rPr>
          <w:t>31</w:t>
        </w:r>
        <w:r>
          <w:rPr>
            <w:noProof/>
            <w:webHidden/>
          </w:rPr>
          <w:fldChar w:fldCharType="end"/>
        </w:r>
      </w:hyperlink>
    </w:p>
    <w:p w14:paraId="165CCF30" w14:textId="3C779FED" w:rsidR="00991384" w:rsidRDefault="00991384">
      <w:pPr>
        <w:pStyle w:val="TOC1"/>
        <w:tabs>
          <w:tab w:val="right" w:leader="dot" w:pos="9350"/>
        </w:tabs>
        <w:rPr>
          <w:rFonts w:asciiTheme="minorHAnsi" w:eastAsiaTheme="minorEastAsia" w:hAnsiTheme="minorHAnsi" w:cstheme="minorBidi"/>
          <w:noProof/>
          <w:sz w:val="22"/>
          <w:szCs w:val="22"/>
        </w:rPr>
      </w:pPr>
      <w:hyperlink w:anchor="_Toc53065374" w:history="1">
        <w:r w:rsidRPr="00461206">
          <w:rPr>
            <w:rStyle w:val="Hyperlink"/>
            <w:noProof/>
          </w:rPr>
          <w:t>Appendix</w:t>
        </w:r>
        <w:r>
          <w:rPr>
            <w:noProof/>
            <w:webHidden/>
          </w:rPr>
          <w:tab/>
        </w:r>
        <w:r>
          <w:rPr>
            <w:noProof/>
            <w:webHidden/>
          </w:rPr>
          <w:fldChar w:fldCharType="begin"/>
        </w:r>
        <w:r>
          <w:rPr>
            <w:noProof/>
            <w:webHidden/>
          </w:rPr>
          <w:instrText xml:space="preserve"> PAGEREF _Toc53065374 \h </w:instrText>
        </w:r>
        <w:r>
          <w:rPr>
            <w:noProof/>
            <w:webHidden/>
          </w:rPr>
        </w:r>
        <w:r>
          <w:rPr>
            <w:noProof/>
            <w:webHidden/>
          </w:rPr>
          <w:fldChar w:fldCharType="separate"/>
        </w:r>
        <w:r w:rsidR="009B3C0A">
          <w:rPr>
            <w:noProof/>
            <w:webHidden/>
          </w:rPr>
          <w:t>32</w:t>
        </w:r>
        <w:r>
          <w:rPr>
            <w:noProof/>
            <w:webHidden/>
          </w:rPr>
          <w:fldChar w:fldCharType="end"/>
        </w:r>
      </w:hyperlink>
    </w:p>
    <w:p w14:paraId="018521F5" w14:textId="145B2ED0" w:rsidR="00991384" w:rsidRDefault="00991384">
      <w:pPr>
        <w:pStyle w:val="TOC1"/>
        <w:tabs>
          <w:tab w:val="right" w:leader="dot" w:pos="9350"/>
        </w:tabs>
        <w:rPr>
          <w:rFonts w:asciiTheme="minorHAnsi" w:eastAsiaTheme="minorEastAsia" w:hAnsiTheme="minorHAnsi" w:cstheme="minorBidi"/>
          <w:noProof/>
          <w:sz w:val="22"/>
          <w:szCs w:val="22"/>
        </w:rPr>
      </w:pPr>
      <w:hyperlink w:anchor="_Toc53065375" w:history="1">
        <w:r w:rsidRPr="00461206">
          <w:rPr>
            <w:rStyle w:val="Hyperlink"/>
            <w:noProof/>
          </w:rPr>
          <w:t>References</w:t>
        </w:r>
        <w:r>
          <w:rPr>
            <w:noProof/>
            <w:webHidden/>
          </w:rPr>
          <w:tab/>
        </w:r>
        <w:r>
          <w:rPr>
            <w:noProof/>
            <w:webHidden/>
          </w:rPr>
          <w:fldChar w:fldCharType="begin"/>
        </w:r>
        <w:r>
          <w:rPr>
            <w:noProof/>
            <w:webHidden/>
          </w:rPr>
          <w:instrText xml:space="preserve"> PAGEREF _Toc53065375 \h </w:instrText>
        </w:r>
        <w:r>
          <w:rPr>
            <w:noProof/>
            <w:webHidden/>
          </w:rPr>
        </w:r>
        <w:r>
          <w:rPr>
            <w:noProof/>
            <w:webHidden/>
          </w:rPr>
          <w:fldChar w:fldCharType="separate"/>
        </w:r>
        <w:r w:rsidR="009B3C0A">
          <w:rPr>
            <w:noProof/>
            <w:webHidden/>
          </w:rPr>
          <w:t>34</w:t>
        </w:r>
        <w:r>
          <w:rPr>
            <w:noProof/>
            <w:webHidden/>
          </w:rPr>
          <w:fldChar w:fldCharType="end"/>
        </w:r>
      </w:hyperlink>
    </w:p>
    <w:p w14:paraId="2836690D" w14:textId="6B746C59" w:rsidR="004B43F5" w:rsidRDefault="004B43F5">
      <w:r w:rsidRPr="001D488A">
        <w:rPr>
          <w:b/>
          <w:bCs/>
          <w:noProof/>
        </w:rPr>
        <w:fldChar w:fldCharType="end"/>
      </w:r>
    </w:p>
    <w:p w14:paraId="40BDFA7C" w14:textId="77777777" w:rsidR="008765B6" w:rsidRDefault="008765B6" w:rsidP="004C7B75">
      <w:pPr>
        <w:tabs>
          <w:tab w:val="left" w:pos="8373"/>
        </w:tabs>
        <w:spacing w:before="240" w:after="240"/>
        <w:rPr>
          <w:rFonts w:ascii="Garamond" w:hAnsi="Garamond"/>
        </w:rPr>
      </w:pPr>
    </w:p>
    <w:p w14:paraId="76D10CBD" w14:textId="01B177C9" w:rsidR="00702A14" w:rsidRDefault="00702A14">
      <w:pPr>
        <w:spacing w:line="276" w:lineRule="auto"/>
        <w:rPr>
          <w:rFonts w:ascii="Garamond" w:hAnsi="Garamond"/>
        </w:rPr>
      </w:pPr>
      <w:r>
        <w:rPr>
          <w:rFonts w:ascii="Garamond" w:hAnsi="Garamond"/>
        </w:rPr>
        <w:br w:type="page"/>
      </w:r>
    </w:p>
    <w:p w14:paraId="7522E8CB" w14:textId="2A01E1A8" w:rsidR="00702A14" w:rsidRDefault="00702A14" w:rsidP="00702A14">
      <w:pPr>
        <w:pStyle w:val="Heading1"/>
      </w:pPr>
      <w:bookmarkStart w:id="2" w:name="_Hlk53048627"/>
      <w:bookmarkStart w:id="3" w:name="_Toc53065355"/>
      <w:r>
        <w:lastRenderedPageBreak/>
        <w:t xml:space="preserve">Table of </w:t>
      </w:r>
      <w:bookmarkEnd w:id="2"/>
      <w:r w:rsidR="00837D13">
        <w:t>Figures</w:t>
      </w:r>
      <w:bookmarkEnd w:id="3"/>
    </w:p>
    <w:p w14:paraId="38596E4E" w14:textId="2976DEA2" w:rsidR="00991384" w:rsidRDefault="00A82125">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"Figures" \c </w:instrText>
      </w:r>
      <w:r>
        <w:fldChar w:fldCharType="separate"/>
      </w:r>
      <w:hyperlink w:anchor="_Toc53065376" w:history="1">
        <w:r w:rsidR="00991384" w:rsidRPr="00004D07">
          <w:rPr>
            <w:rStyle w:val="Hyperlink"/>
            <w:noProof/>
          </w:rPr>
          <w:t>Figure 1: The “Beachhead Model” of Successive Vehicle Applications</w:t>
        </w:r>
        <w:r w:rsidR="00991384">
          <w:rPr>
            <w:noProof/>
            <w:webHidden/>
          </w:rPr>
          <w:tab/>
        </w:r>
        <w:r w:rsidR="00991384">
          <w:rPr>
            <w:noProof/>
            <w:webHidden/>
          </w:rPr>
          <w:fldChar w:fldCharType="begin"/>
        </w:r>
        <w:r w:rsidR="00991384">
          <w:rPr>
            <w:noProof/>
            <w:webHidden/>
          </w:rPr>
          <w:instrText xml:space="preserve"> PAGEREF _Toc53065376 \h </w:instrText>
        </w:r>
        <w:r w:rsidR="00991384">
          <w:rPr>
            <w:noProof/>
            <w:webHidden/>
          </w:rPr>
        </w:r>
        <w:r w:rsidR="00991384">
          <w:rPr>
            <w:noProof/>
            <w:webHidden/>
          </w:rPr>
          <w:fldChar w:fldCharType="separate"/>
        </w:r>
        <w:r w:rsidR="009B3C0A">
          <w:rPr>
            <w:noProof/>
            <w:webHidden/>
          </w:rPr>
          <w:t>7</w:t>
        </w:r>
        <w:r w:rsidR="00991384">
          <w:rPr>
            <w:noProof/>
            <w:webHidden/>
          </w:rPr>
          <w:fldChar w:fldCharType="end"/>
        </w:r>
      </w:hyperlink>
    </w:p>
    <w:p w14:paraId="59E985F1" w14:textId="6956EBBC" w:rsidR="00991384" w:rsidRDefault="00991384">
      <w:pPr>
        <w:pStyle w:val="TableofFigures"/>
        <w:tabs>
          <w:tab w:val="right" w:leader="dot" w:pos="9350"/>
        </w:tabs>
        <w:rPr>
          <w:rFonts w:asciiTheme="minorHAnsi" w:eastAsiaTheme="minorEastAsia" w:hAnsiTheme="minorHAnsi" w:cstheme="minorBidi"/>
          <w:noProof/>
          <w:sz w:val="22"/>
          <w:szCs w:val="22"/>
        </w:rPr>
      </w:pPr>
      <w:hyperlink w:anchor="_Toc53065377" w:history="1">
        <w:r w:rsidRPr="00004D07">
          <w:rPr>
            <w:rStyle w:val="Hyperlink"/>
            <w:noProof/>
          </w:rPr>
          <w:t>Figure 2: “Beachhead Pathways” for Zero-Emission Vehicle Commercialization</w:t>
        </w:r>
        <w:r>
          <w:rPr>
            <w:noProof/>
            <w:webHidden/>
          </w:rPr>
          <w:tab/>
        </w:r>
        <w:r>
          <w:rPr>
            <w:noProof/>
            <w:webHidden/>
          </w:rPr>
          <w:fldChar w:fldCharType="begin"/>
        </w:r>
        <w:r>
          <w:rPr>
            <w:noProof/>
            <w:webHidden/>
          </w:rPr>
          <w:instrText xml:space="preserve"> PAGEREF _Toc53065377 \h </w:instrText>
        </w:r>
        <w:r>
          <w:rPr>
            <w:noProof/>
            <w:webHidden/>
          </w:rPr>
        </w:r>
        <w:r>
          <w:rPr>
            <w:noProof/>
            <w:webHidden/>
          </w:rPr>
          <w:fldChar w:fldCharType="separate"/>
        </w:r>
        <w:r w:rsidR="009B3C0A">
          <w:rPr>
            <w:noProof/>
            <w:webHidden/>
          </w:rPr>
          <w:t>10</w:t>
        </w:r>
        <w:r>
          <w:rPr>
            <w:noProof/>
            <w:webHidden/>
          </w:rPr>
          <w:fldChar w:fldCharType="end"/>
        </w:r>
      </w:hyperlink>
    </w:p>
    <w:p w14:paraId="6EC4660F" w14:textId="47A5E9D9" w:rsidR="00991384" w:rsidRDefault="00991384">
      <w:pPr>
        <w:pStyle w:val="TableofFigures"/>
        <w:tabs>
          <w:tab w:val="right" w:leader="dot" w:pos="9350"/>
        </w:tabs>
        <w:rPr>
          <w:rFonts w:asciiTheme="minorHAnsi" w:eastAsiaTheme="minorEastAsia" w:hAnsiTheme="minorHAnsi" w:cstheme="minorBidi"/>
          <w:noProof/>
          <w:sz w:val="22"/>
          <w:szCs w:val="22"/>
        </w:rPr>
      </w:pPr>
      <w:hyperlink w:anchor="_Toc53065378" w:history="1">
        <w:r w:rsidRPr="00004D07">
          <w:rPr>
            <w:rStyle w:val="Hyperlink"/>
            <w:noProof/>
          </w:rPr>
          <w:t>Figure 3: Stages of Technology Readiness</w:t>
        </w:r>
        <w:r>
          <w:rPr>
            <w:noProof/>
            <w:webHidden/>
          </w:rPr>
          <w:tab/>
        </w:r>
        <w:r>
          <w:rPr>
            <w:noProof/>
            <w:webHidden/>
          </w:rPr>
          <w:fldChar w:fldCharType="begin"/>
        </w:r>
        <w:r>
          <w:rPr>
            <w:noProof/>
            <w:webHidden/>
          </w:rPr>
          <w:instrText xml:space="preserve"> PAGEREF _Toc53065378 \h </w:instrText>
        </w:r>
        <w:r>
          <w:rPr>
            <w:noProof/>
            <w:webHidden/>
          </w:rPr>
        </w:r>
        <w:r>
          <w:rPr>
            <w:noProof/>
            <w:webHidden/>
          </w:rPr>
          <w:fldChar w:fldCharType="separate"/>
        </w:r>
        <w:r w:rsidR="009B3C0A">
          <w:rPr>
            <w:noProof/>
            <w:webHidden/>
          </w:rPr>
          <w:t>15</w:t>
        </w:r>
        <w:r>
          <w:rPr>
            <w:noProof/>
            <w:webHidden/>
          </w:rPr>
          <w:fldChar w:fldCharType="end"/>
        </w:r>
      </w:hyperlink>
    </w:p>
    <w:p w14:paraId="7F8C42C9" w14:textId="4E629230" w:rsidR="00991384" w:rsidRDefault="00991384">
      <w:pPr>
        <w:pStyle w:val="TableofFigures"/>
        <w:tabs>
          <w:tab w:val="right" w:leader="dot" w:pos="9350"/>
        </w:tabs>
        <w:rPr>
          <w:rFonts w:asciiTheme="minorHAnsi" w:eastAsiaTheme="minorEastAsia" w:hAnsiTheme="minorHAnsi" w:cstheme="minorBidi"/>
          <w:noProof/>
          <w:sz w:val="22"/>
          <w:szCs w:val="22"/>
        </w:rPr>
      </w:pPr>
      <w:hyperlink w:anchor="_Toc53065379" w:history="1">
        <w:r w:rsidRPr="00004D07">
          <w:rPr>
            <w:rStyle w:val="Hyperlink"/>
            <w:noProof/>
          </w:rPr>
          <w:t>Figure 4: Technology Readiness Levels by Vehicle Platform</w:t>
        </w:r>
        <w:r>
          <w:rPr>
            <w:noProof/>
            <w:webHidden/>
          </w:rPr>
          <w:tab/>
        </w:r>
        <w:r>
          <w:rPr>
            <w:noProof/>
            <w:webHidden/>
          </w:rPr>
          <w:fldChar w:fldCharType="begin"/>
        </w:r>
        <w:r>
          <w:rPr>
            <w:noProof/>
            <w:webHidden/>
          </w:rPr>
          <w:instrText xml:space="preserve"> PAGEREF _Toc53065379 \h </w:instrText>
        </w:r>
        <w:r>
          <w:rPr>
            <w:noProof/>
            <w:webHidden/>
          </w:rPr>
        </w:r>
        <w:r>
          <w:rPr>
            <w:noProof/>
            <w:webHidden/>
          </w:rPr>
          <w:fldChar w:fldCharType="separate"/>
        </w:r>
        <w:r w:rsidR="009B3C0A">
          <w:rPr>
            <w:noProof/>
            <w:webHidden/>
          </w:rPr>
          <w:t>16</w:t>
        </w:r>
        <w:r>
          <w:rPr>
            <w:noProof/>
            <w:webHidden/>
          </w:rPr>
          <w:fldChar w:fldCharType="end"/>
        </w:r>
      </w:hyperlink>
    </w:p>
    <w:p w14:paraId="42EB043E" w14:textId="29C2DB62" w:rsidR="00991384" w:rsidRDefault="00991384">
      <w:pPr>
        <w:pStyle w:val="TableofFigures"/>
        <w:tabs>
          <w:tab w:val="right" w:leader="dot" w:pos="9350"/>
        </w:tabs>
        <w:rPr>
          <w:rFonts w:asciiTheme="minorHAnsi" w:eastAsiaTheme="minorEastAsia" w:hAnsiTheme="minorHAnsi" w:cstheme="minorBidi"/>
          <w:noProof/>
          <w:sz w:val="22"/>
          <w:szCs w:val="22"/>
        </w:rPr>
      </w:pPr>
      <w:hyperlink w:anchor="_Toc53065380" w:history="1">
        <w:r w:rsidRPr="00004D07">
          <w:rPr>
            <w:rStyle w:val="Hyperlink"/>
            <w:noProof/>
          </w:rPr>
          <w:t>Figure 5: Current and Announced ZECV Models by Range, Release Date, and Platform for U.S., Canada, Europe, and China Markets</w:t>
        </w:r>
        <w:r>
          <w:rPr>
            <w:noProof/>
            <w:webHidden/>
          </w:rPr>
          <w:tab/>
        </w:r>
        <w:r>
          <w:rPr>
            <w:noProof/>
            <w:webHidden/>
          </w:rPr>
          <w:fldChar w:fldCharType="begin"/>
        </w:r>
        <w:r>
          <w:rPr>
            <w:noProof/>
            <w:webHidden/>
          </w:rPr>
          <w:instrText xml:space="preserve"> PAGEREF _Toc53065380 \h </w:instrText>
        </w:r>
        <w:r>
          <w:rPr>
            <w:noProof/>
            <w:webHidden/>
          </w:rPr>
        </w:r>
        <w:r>
          <w:rPr>
            <w:noProof/>
            <w:webHidden/>
          </w:rPr>
          <w:fldChar w:fldCharType="separate"/>
        </w:r>
        <w:r w:rsidR="009B3C0A">
          <w:rPr>
            <w:noProof/>
            <w:webHidden/>
          </w:rPr>
          <w:t>17</w:t>
        </w:r>
        <w:r>
          <w:rPr>
            <w:noProof/>
            <w:webHidden/>
          </w:rPr>
          <w:fldChar w:fldCharType="end"/>
        </w:r>
      </w:hyperlink>
    </w:p>
    <w:p w14:paraId="21EC5579" w14:textId="4D0E95AA" w:rsidR="00837D13" w:rsidRDefault="00A82125" w:rsidP="00702A14">
      <w:r>
        <w:fldChar w:fldCharType="end"/>
      </w:r>
    </w:p>
    <w:p w14:paraId="70DEDE23" w14:textId="5DEEDD90" w:rsidR="00702A14" w:rsidRDefault="00702A14" w:rsidP="00837D13"/>
    <w:p w14:paraId="72AFE4C0" w14:textId="6357B331" w:rsidR="00837D13" w:rsidRDefault="00837D13" w:rsidP="00837D13">
      <w:pPr>
        <w:pStyle w:val="Heading1"/>
      </w:pPr>
      <w:bookmarkStart w:id="4" w:name="_Toc53065356"/>
      <w:r>
        <w:t>Table of Tables</w:t>
      </w:r>
      <w:bookmarkEnd w:id="4"/>
    </w:p>
    <w:p w14:paraId="0E472D62" w14:textId="596A2A27" w:rsidR="00991384" w:rsidRDefault="00270E29">
      <w:pPr>
        <w:pStyle w:val="TableofFigures"/>
        <w:tabs>
          <w:tab w:val="right" w:leader="dot" w:pos="9350"/>
        </w:tabs>
        <w:rPr>
          <w:rFonts w:asciiTheme="minorHAnsi" w:eastAsiaTheme="minorEastAsia" w:hAnsiTheme="minorHAnsi" w:cstheme="minorBidi"/>
          <w:noProof/>
          <w:sz w:val="22"/>
          <w:szCs w:val="22"/>
        </w:rPr>
      </w:pPr>
      <w:r>
        <w:rPr>
          <w:sz w:val="40"/>
          <w:szCs w:val="40"/>
        </w:rPr>
        <w:fldChar w:fldCharType="begin"/>
      </w:r>
      <w:r>
        <w:rPr>
          <w:sz w:val="40"/>
          <w:szCs w:val="40"/>
        </w:rPr>
        <w:instrText xml:space="preserve"> TOC \f \h \z \t "Tables" \c </w:instrText>
      </w:r>
      <w:r>
        <w:rPr>
          <w:sz w:val="40"/>
          <w:szCs w:val="40"/>
        </w:rPr>
        <w:fldChar w:fldCharType="separate"/>
      </w:r>
      <w:hyperlink w:anchor="_Toc53065381" w:history="1">
        <w:r w:rsidR="00991384" w:rsidRPr="0054398D">
          <w:rPr>
            <w:rStyle w:val="Hyperlink"/>
            <w:bCs/>
            <w:noProof/>
          </w:rPr>
          <w:t>Table 1: On-Road ZECV Applications and Market Timing</w:t>
        </w:r>
        <w:r w:rsidR="00991384">
          <w:rPr>
            <w:noProof/>
            <w:webHidden/>
          </w:rPr>
          <w:tab/>
        </w:r>
        <w:r w:rsidR="00991384">
          <w:rPr>
            <w:noProof/>
            <w:webHidden/>
          </w:rPr>
          <w:fldChar w:fldCharType="begin"/>
        </w:r>
        <w:r w:rsidR="00991384">
          <w:rPr>
            <w:noProof/>
            <w:webHidden/>
          </w:rPr>
          <w:instrText xml:space="preserve"> PAGEREF _Toc53065381 \h </w:instrText>
        </w:r>
        <w:r w:rsidR="00991384">
          <w:rPr>
            <w:noProof/>
            <w:webHidden/>
          </w:rPr>
        </w:r>
        <w:r w:rsidR="00991384">
          <w:rPr>
            <w:noProof/>
            <w:webHidden/>
          </w:rPr>
          <w:fldChar w:fldCharType="separate"/>
        </w:r>
        <w:r w:rsidR="009B3C0A">
          <w:rPr>
            <w:noProof/>
            <w:webHidden/>
          </w:rPr>
          <w:t>11</w:t>
        </w:r>
        <w:r w:rsidR="00991384">
          <w:rPr>
            <w:noProof/>
            <w:webHidden/>
          </w:rPr>
          <w:fldChar w:fldCharType="end"/>
        </w:r>
      </w:hyperlink>
    </w:p>
    <w:p w14:paraId="5BA4CB10" w14:textId="224A8648" w:rsidR="00991384" w:rsidRDefault="00991384">
      <w:pPr>
        <w:pStyle w:val="TableofFigures"/>
        <w:tabs>
          <w:tab w:val="right" w:leader="dot" w:pos="9350"/>
        </w:tabs>
        <w:rPr>
          <w:rFonts w:asciiTheme="minorHAnsi" w:eastAsiaTheme="minorEastAsia" w:hAnsiTheme="minorHAnsi" w:cstheme="minorBidi"/>
          <w:noProof/>
          <w:sz w:val="22"/>
          <w:szCs w:val="22"/>
        </w:rPr>
      </w:pPr>
      <w:hyperlink w:anchor="_Toc53065382" w:history="1">
        <w:r w:rsidRPr="0054398D">
          <w:rPr>
            <w:rStyle w:val="Hyperlink"/>
            <w:noProof/>
          </w:rPr>
          <w:t>Table 2: Off-Road ZECV Applications and Readiness</w:t>
        </w:r>
        <w:r>
          <w:rPr>
            <w:noProof/>
            <w:webHidden/>
          </w:rPr>
          <w:tab/>
        </w:r>
        <w:r>
          <w:rPr>
            <w:noProof/>
            <w:webHidden/>
          </w:rPr>
          <w:fldChar w:fldCharType="begin"/>
        </w:r>
        <w:r>
          <w:rPr>
            <w:noProof/>
            <w:webHidden/>
          </w:rPr>
          <w:instrText xml:space="preserve"> PAGEREF _Toc53065382 \h </w:instrText>
        </w:r>
        <w:r>
          <w:rPr>
            <w:noProof/>
            <w:webHidden/>
          </w:rPr>
        </w:r>
        <w:r>
          <w:rPr>
            <w:noProof/>
            <w:webHidden/>
          </w:rPr>
          <w:fldChar w:fldCharType="separate"/>
        </w:r>
        <w:r w:rsidR="009B3C0A">
          <w:rPr>
            <w:noProof/>
            <w:webHidden/>
          </w:rPr>
          <w:t>13</w:t>
        </w:r>
        <w:r>
          <w:rPr>
            <w:noProof/>
            <w:webHidden/>
          </w:rPr>
          <w:fldChar w:fldCharType="end"/>
        </w:r>
      </w:hyperlink>
    </w:p>
    <w:p w14:paraId="5C0F0312" w14:textId="5BE3298E" w:rsidR="00991384" w:rsidRDefault="00991384">
      <w:pPr>
        <w:pStyle w:val="TableofFigures"/>
        <w:tabs>
          <w:tab w:val="right" w:leader="dot" w:pos="9350"/>
        </w:tabs>
        <w:rPr>
          <w:rFonts w:asciiTheme="minorHAnsi" w:eastAsiaTheme="minorEastAsia" w:hAnsiTheme="minorHAnsi" w:cstheme="minorBidi"/>
          <w:noProof/>
          <w:sz w:val="22"/>
          <w:szCs w:val="22"/>
        </w:rPr>
      </w:pPr>
      <w:hyperlink w:anchor="_Toc53065383" w:history="1">
        <w:r w:rsidRPr="0054398D">
          <w:rPr>
            <w:rStyle w:val="Hyperlink"/>
            <w:noProof/>
          </w:rPr>
          <w:t>Table 3: ZEV Systems and Common Transferable Components</w:t>
        </w:r>
        <w:r>
          <w:rPr>
            <w:noProof/>
            <w:webHidden/>
          </w:rPr>
          <w:tab/>
        </w:r>
        <w:r>
          <w:rPr>
            <w:noProof/>
            <w:webHidden/>
          </w:rPr>
          <w:fldChar w:fldCharType="begin"/>
        </w:r>
        <w:r>
          <w:rPr>
            <w:noProof/>
            <w:webHidden/>
          </w:rPr>
          <w:instrText xml:space="preserve"> PAGEREF _Toc53065383 \h </w:instrText>
        </w:r>
        <w:r>
          <w:rPr>
            <w:noProof/>
            <w:webHidden/>
          </w:rPr>
        </w:r>
        <w:r>
          <w:rPr>
            <w:noProof/>
            <w:webHidden/>
          </w:rPr>
          <w:fldChar w:fldCharType="separate"/>
        </w:r>
        <w:r w:rsidR="009B3C0A">
          <w:rPr>
            <w:noProof/>
            <w:webHidden/>
          </w:rPr>
          <w:t>18</w:t>
        </w:r>
        <w:r>
          <w:rPr>
            <w:noProof/>
            <w:webHidden/>
          </w:rPr>
          <w:fldChar w:fldCharType="end"/>
        </w:r>
      </w:hyperlink>
    </w:p>
    <w:p w14:paraId="46F5B6B6" w14:textId="7B427BA9" w:rsidR="00991384" w:rsidRDefault="00991384">
      <w:pPr>
        <w:pStyle w:val="TableofFigures"/>
        <w:tabs>
          <w:tab w:val="right" w:leader="dot" w:pos="9350"/>
        </w:tabs>
        <w:rPr>
          <w:rFonts w:asciiTheme="minorHAnsi" w:eastAsiaTheme="minorEastAsia" w:hAnsiTheme="minorHAnsi" w:cstheme="minorBidi"/>
          <w:noProof/>
          <w:sz w:val="22"/>
          <w:szCs w:val="22"/>
        </w:rPr>
      </w:pPr>
      <w:hyperlink w:anchor="_Toc53065384" w:history="1">
        <w:r w:rsidRPr="0054398D">
          <w:rPr>
            <w:rStyle w:val="Hyperlink"/>
            <w:bCs/>
            <w:noProof/>
          </w:rPr>
          <w:t>Table A1: Truck Classification in United States and Canada; European Union; China; and Japan</w:t>
        </w:r>
        <w:r>
          <w:rPr>
            <w:noProof/>
            <w:webHidden/>
          </w:rPr>
          <w:tab/>
        </w:r>
        <w:r>
          <w:rPr>
            <w:noProof/>
            <w:webHidden/>
          </w:rPr>
          <w:fldChar w:fldCharType="begin"/>
        </w:r>
        <w:r>
          <w:rPr>
            <w:noProof/>
            <w:webHidden/>
          </w:rPr>
          <w:instrText xml:space="preserve"> PAGEREF _Toc53065384 \h </w:instrText>
        </w:r>
        <w:r>
          <w:rPr>
            <w:noProof/>
            <w:webHidden/>
          </w:rPr>
        </w:r>
        <w:r>
          <w:rPr>
            <w:noProof/>
            <w:webHidden/>
          </w:rPr>
          <w:fldChar w:fldCharType="separate"/>
        </w:r>
        <w:r w:rsidR="009B3C0A">
          <w:rPr>
            <w:noProof/>
            <w:webHidden/>
          </w:rPr>
          <w:t>32</w:t>
        </w:r>
        <w:r>
          <w:rPr>
            <w:noProof/>
            <w:webHidden/>
          </w:rPr>
          <w:fldChar w:fldCharType="end"/>
        </w:r>
      </w:hyperlink>
    </w:p>
    <w:p w14:paraId="3DB56351" w14:textId="5B6F308B" w:rsidR="00837D13" w:rsidRDefault="00270E29" w:rsidP="00CE3C2B">
      <w:pPr>
        <w:rPr>
          <w:sz w:val="40"/>
          <w:szCs w:val="40"/>
        </w:rPr>
      </w:pPr>
      <w:r>
        <w:rPr>
          <w:sz w:val="40"/>
          <w:szCs w:val="40"/>
        </w:rPr>
        <w:fldChar w:fldCharType="end"/>
      </w:r>
    </w:p>
    <w:p w14:paraId="6D96DD38" w14:textId="30D19471" w:rsidR="00837D13" w:rsidRDefault="00837D13">
      <w:pPr>
        <w:spacing w:line="276" w:lineRule="auto"/>
        <w:rPr>
          <w:sz w:val="40"/>
          <w:szCs w:val="40"/>
        </w:rPr>
      </w:pPr>
      <w:r>
        <w:br w:type="page"/>
      </w:r>
    </w:p>
    <w:p w14:paraId="30FCEAEA" w14:textId="23A5BC99" w:rsidR="00702A14" w:rsidRDefault="00702A14" w:rsidP="00702A14">
      <w:pPr>
        <w:pStyle w:val="Heading1"/>
      </w:pPr>
      <w:bookmarkStart w:id="5" w:name="_Toc53065357"/>
      <w:r>
        <w:lastRenderedPageBreak/>
        <w:t>Definitions of Acronyms</w:t>
      </w:r>
      <w:bookmarkEnd w:id="5"/>
    </w:p>
    <w:p w14:paraId="6EF6A1B5" w14:textId="77777777" w:rsidR="003D34A6" w:rsidRPr="003D34A6" w:rsidRDefault="003D34A6" w:rsidP="00CE3C2B"/>
    <w:tbl>
      <w:tblPr>
        <w:tblW w:w="9666" w:type="dxa"/>
        <w:tblLook w:val="04A0" w:firstRow="1" w:lastRow="0" w:firstColumn="1" w:lastColumn="0" w:noHBand="0" w:noVBand="1"/>
      </w:tblPr>
      <w:tblGrid>
        <w:gridCol w:w="1426"/>
        <w:gridCol w:w="8240"/>
      </w:tblGrid>
      <w:tr w:rsidR="00C0588D" w:rsidRPr="0002363F" w14:paraId="21EEFB81" w14:textId="77777777" w:rsidTr="007C2A62">
        <w:trPr>
          <w:trHeight w:val="340"/>
        </w:trPr>
        <w:tc>
          <w:tcPr>
            <w:tcW w:w="1426" w:type="dxa"/>
            <w:tcBorders>
              <w:top w:val="nil"/>
              <w:left w:val="nil"/>
              <w:bottom w:val="nil"/>
              <w:right w:val="nil"/>
            </w:tcBorders>
            <w:shd w:val="clear" w:color="auto" w:fill="auto"/>
            <w:noWrap/>
            <w:vAlign w:val="bottom"/>
          </w:tcPr>
          <w:p w14:paraId="2BE39707" w14:textId="77777777" w:rsidR="00C0588D" w:rsidRDefault="00C0588D" w:rsidP="007C2A62">
            <w:pPr>
              <w:rPr>
                <w:rFonts w:cstheme="minorHAnsi"/>
                <w:szCs w:val="22"/>
              </w:rPr>
            </w:pPr>
            <w:r>
              <w:rPr>
                <w:rFonts w:cstheme="minorHAnsi"/>
                <w:szCs w:val="22"/>
              </w:rPr>
              <w:t>$</w:t>
            </w:r>
          </w:p>
        </w:tc>
        <w:tc>
          <w:tcPr>
            <w:tcW w:w="8240" w:type="dxa"/>
            <w:tcBorders>
              <w:top w:val="nil"/>
              <w:left w:val="nil"/>
              <w:bottom w:val="nil"/>
              <w:right w:val="nil"/>
            </w:tcBorders>
            <w:shd w:val="clear" w:color="auto" w:fill="auto"/>
            <w:noWrap/>
            <w:vAlign w:val="center"/>
          </w:tcPr>
          <w:p w14:paraId="5525B072" w14:textId="77777777" w:rsidR="00C0588D" w:rsidRDefault="00C0588D" w:rsidP="007C2A62">
            <w:pPr>
              <w:rPr>
                <w:rFonts w:cstheme="minorHAnsi"/>
                <w:szCs w:val="22"/>
              </w:rPr>
            </w:pPr>
            <w:r w:rsidRPr="000B2F1F">
              <w:rPr>
                <w:rFonts w:cstheme="minorHAnsi"/>
                <w:szCs w:val="22"/>
              </w:rPr>
              <w:t>United States dollar</w:t>
            </w:r>
          </w:p>
        </w:tc>
      </w:tr>
      <w:tr w:rsidR="00C0588D" w:rsidRPr="0002363F" w14:paraId="08377C51" w14:textId="77777777" w:rsidTr="007C2A62">
        <w:trPr>
          <w:trHeight w:val="340"/>
        </w:trPr>
        <w:tc>
          <w:tcPr>
            <w:tcW w:w="1426" w:type="dxa"/>
            <w:tcBorders>
              <w:top w:val="nil"/>
              <w:left w:val="nil"/>
              <w:bottom w:val="nil"/>
              <w:right w:val="nil"/>
            </w:tcBorders>
            <w:shd w:val="clear" w:color="auto" w:fill="auto"/>
            <w:noWrap/>
            <w:vAlign w:val="bottom"/>
          </w:tcPr>
          <w:p w14:paraId="68334187" w14:textId="2F3D7856" w:rsidR="00C0588D" w:rsidRPr="004A3C50" w:rsidRDefault="00C0588D" w:rsidP="007C2A62">
            <w:pPr>
              <w:rPr>
                <w:rFonts w:cstheme="minorHAnsi"/>
                <w:szCs w:val="22"/>
              </w:rPr>
            </w:pPr>
            <w:r>
              <w:rPr>
                <w:rFonts w:cstheme="minorHAnsi"/>
                <w:szCs w:val="22"/>
              </w:rPr>
              <w:t>AC</w:t>
            </w:r>
          </w:p>
        </w:tc>
        <w:tc>
          <w:tcPr>
            <w:tcW w:w="8240" w:type="dxa"/>
            <w:tcBorders>
              <w:top w:val="nil"/>
              <w:left w:val="nil"/>
              <w:bottom w:val="nil"/>
              <w:right w:val="nil"/>
            </w:tcBorders>
            <w:shd w:val="clear" w:color="auto" w:fill="auto"/>
            <w:noWrap/>
            <w:vAlign w:val="center"/>
          </w:tcPr>
          <w:p w14:paraId="1165C4B1" w14:textId="2FB6BF8B" w:rsidR="00C0588D" w:rsidRPr="0091100C" w:rsidRDefault="00310825" w:rsidP="007C2A62">
            <w:pPr>
              <w:rPr>
                <w:rFonts w:cstheme="minorHAnsi"/>
                <w:szCs w:val="22"/>
              </w:rPr>
            </w:pPr>
            <w:r>
              <w:rPr>
                <w:rFonts w:cstheme="minorHAnsi"/>
                <w:szCs w:val="22"/>
              </w:rPr>
              <w:t xml:space="preserve">Alternating </w:t>
            </w:r>
            <w:r w:rsidR="00AE2221">
              <w:rPr>
                <w:rFonts w:cstheme="minorHAnsi"/>
                <w:szCs w:val="22"/>
              </w:rPr>
              <w:t>c</w:t>
            </w:r>
            <w:r>
              <w:rPr>
                <w:rFonts w:cstheme="minorHAnsi"/>
                <w:szCs w:val="22"/>
              </w:rPr>
              <w:t>urrent</w:t>
            </w:r>
          </w:p>
        </w:tc>
      </w:tr>
      <w:tr w:rsidR="00C0588D" w:rsidRPr="0002363F" w14:paraId="1BDF9FD3" w14:textId="77777777" w:rsidTr="007C2A62">
        <w:trPr>
          <w:trHeight w:val="340"/>
        </w:trPr>
        <w:tc>
          <w:tcPr>
            <w:tcW w:w="1426" w:type="dxa"/>
            <w:tcBorders>
              <w:top w:val="nil"/>
              <w:left w:val="nil"/>
              <w:bottom w:val="nil"/>
              <w:right w:val="nil"/>
            </w:tcBorders>
            <w:shd w:val="clear" w:color="auto" w:fill="auto"/>
            <w:noWrap/>
            <w:vAlign w:val="bottom"/>
          </w:tcPr>
          <w:p w14:paraId="53A8E3E0" w14:textId="77777777" w:rsidR="00C0588D" w:rsidRPr="004A3C50" w:rsidRDefault="00C0588D" w:rsidP="007C2A62">
            <w:pPr>
              <w:rPr>
                <w:rFonts w:cstheme="minorHAnsi"/>
                <w:szCs w:val="22"/>
              </w:rPr>
            </w:pPr>
            <w:r>
              <w:rPr>
                <w:rFonts w:cstheme="minorHAnsi"/>
                <w:szCs w:val="22"/>
              </w:rPr>
              <w:t>BEV</w:t>
            </w:r>
          </w:p>
        </w:tc>
        <w:tc>
          <w:tcPr>
            <w:tcW w:w="8240" w:type="dxa"/>
            <w:tcBorders>
              <w:top w:val="nil"/>
              <w:left w:val="nil"/>
              <w:bottom w:val="nil"/>
              <w:right w:val="nil"/>
            </w:tcBorders>
            <w:shd w:val="clear" w:color="auto" w:fill="auto"/>
            <w:noWrap/>
            <w:vAlign w:val="center"/>
          </w:tcPr>
          <w:p w14:paraId="113AE7E9" w14:textId="77777777" w:rsidR="00C0588D" w:rsidRPr="0091100C" w:rsidRDefault="00C0588D" w:rsidP="007C2A62">
            <w:pPr>
              <w:rPr>
                <w:rFonts w:cstheme="minorHAnsi"/>
                <w:szCs w:val="22"/>
              </w:rPr>
            </w:pPr>
            <w:r>
              <w:rPr>
                <w:rFonts w:cstheme="minorHAnsi"/>
                <w:szCs w:val="22"/>
              </w:rPr>
              <w:t>Battery electric vehicle</w:t>
            </w:r>
          </w:p>
        </w:tc>
      </w:tr>
      <w:tr w:rsidR="00DC562D" w:rsidRPr="0002363F" w14:paraId="54CE082A" w14:textId="77777777" w:rsidTr="007C2A62">
        <w:trPr>
          <w:trHeight w:val="340"/>
        </w:trPr>
        <w:tc>
          <w:tcPr>
            <w:tcW w:w="1426" w:type="dxa"/>
            <w:tcBorders>
              <w:top w:val="nil"/>
              <w:left w:val="nil"/>
              <w:bottom w:val="nil"/>
              <w:right w:val="nil"/>
            </w:tcBorders>
            <w:shd w:val="clear" w:color="auto" w:fill="auto"/>
            <w:noWrap/>
            <w:vAlign w:val="bottom"/>
          </w:tcPr>
          <w:p w14:paraId="6C97383A" w14:textId="3D5704BE" w:rsidR="00DC562D" w:rsidRDefault="00DC562D" w:rsidP="007C2A62">
            <w:pPr>
              <w:rPr>
                <w:rFonts w:cstheme="minorHAnsi"/>
                <w:szCs w:val="22"/>
              </w:rPr>
            </w:pPr>
            <w:r>
              <w:rPr>
                <w:rFonts w:cstheme="minorHAnsi"/>
                <w:szCs w:val="22"/>
              </w:rPr>
              <w:t>CARB</w:t>
            </w:r>
          </w:p>
        </w:tc>
        <w:tc>
          <w:tcPr>
            <w:tcW w:w="8240" w:type="dxa"/>
            <w:tcBorders>
              <w:top w:val="nil"/>
              <w:left w:val="nil"/>
              <w:bottom w:val="nil"/>
              <w:right w:val="nil"/>
            </w:tcBorders>
            <w:shd w:val="clear" w:color="auto" w:fill="auto"/>
            <w:noWrap/>
            <w:vAlign w:val="center"/>
          </w:tcPr>
          <w:p w14:paraId="0054EB28" w14:textId="351C3C41" w:rsidR="00DC562D" w:rsidRDefault="00DC562D" w:rsidP="007C2A62">
            <w:pPr>
              <w:rPr>
                <w:rFonts w:cstheme="minorHAnsi"/>
                <w:szCs w:val="22"/>
              </w:rPr>
            </w:pPr>
            <w:r>
              <w:rPr>
                <w:rFonts w:cstheme="minorHAnsi"/>
                <w:szCs w:val="22"/>
              </w:rPr>
              <w:t>California Air Resources Board</w:t>
            </w:r>
          </w:p>
        </w:tc>
      </w:tr>
      <w:tr w:rsidR="006724A5" w:rsidRPr="0002363F" w14:paraId="2375C3BB" w14:textId="77777777" w:rsidTr="007C2A62">
        <w:trPr>
          <w:trHeight w:val="340"/>
        </w:trPr>
        <w:tc>
          <w:tcPr>
            <w:tcW w:w="1426" w:type="dxa"/>
            <w:tcBorders>
              <w:top w:val="nil"/>
              <w:left w:val="nil"/>
              <w:bottom w:val="nil"/>
              <w:right w:val="nil"/>
            </w:tcBorders>
            <w:shd w:val="clear" w:color="auto" w:fill="auto"/>
            <w:noWrap/>
            <w:vAlign w:val="bottom"/>
          </w:tcPr>
          <w:p w14:paraId="28ED320B" w14:textId="3BF7C99D" w:rsidR="006724A5" w:rsidRDefault="00E14EE4" w:rsidP="007C2A62">
            <w:pPr>
              <w:rPr>
                <w:rFonts w:cstheme="minorHAnsi"/>
                <w:szCs w:val="22"/>
              </w:rPr>
            </w:pPr>
            <w:r>
              <w:rPr>
                <w:rFonts w:cstheme="minorHAnsi"/>
                <w:szCs w:val="22"/>
              </w:rPr>
              <w:t>DC</w:t>
            </w:r>
          </w:p>
        </w:tc>
        <w:tc>
          <w:tcPr>
            <w:tcW w:w="8240" w:type="dxa"/>
            <w:tcBorders>
              <w:top w:val="nil"/>
              <w:left w:val="nil"/>
              <w:bottom w:val="nil"/>
              <w:right w:val="nil"/>
            </w:tcBorders>
            <w:shd w:val="clear" w:color="auto" w:fill="auto"/>
            <w:noWrap/>
            <w:vAlign w:val="center"/>
          </w:tcPr>
          <w:p w14:paraId="2EA5A348" w14:textId="381FCC1B" w:rsidR="006724A5" w:rsidRDefault="00E14EE4" w:rsidP="007C2A62">
            <w:pPr>
              <w:rPr>
                <w:rFonts w:cstheme="minorHAnsi"/>
                <w:szCs w:val="22"/>
              </w:rPr>
            </w:pPr>
            <w:r>
              <w:rPr>
                <w:rFonts w:cstheme="minorHAnsi"/>
                <w:szCs w:val="22"/>
              </w:rPr>
              <w:t xml:space="preserve">Direct </w:t>
            </w:r>
            <w:r w:rsidR="00AE2221">
              <w:rPr>
                <w:rFonts w:cstheme="minorHAnsi"/>
                <w:szCs w:val="22"/>
              </w:rPr>
              <w:t>c</w:t>
            </w:r>
            <w:r>
              <w:rPr>
                <w:rFonts w:cstheme="minorHAnsi"/>
                <w:szCs w:val="22"/>
              </w:rPr>
              <w:t>urrent</w:t>
            </w:r>
          </w:p>
        </w:tc>
      </w:tr>
      <w:tr w:rsidR="00C0588D" w:rsidRPr="0002363F" w14:paraId="648B0EA4" w14:textId="77777777" w:rsidTr="007C2A62">
        <w:trPr>
          <w:trHeight w:val="340"/>
        </w:trPr>
        <w:tc>
          <w:tcPr>
            <w:tcW w:w="1426" w:type="dxa"/>
            <w:tcBorders>
              <w:top w:val="nil"/>
              <w:left w:val="nil"/>
              <w:bottom w:val="nil"/>
              <w:right w:val="nil"/>
            </w:tcBorders>
            <w:shd w:val="clear" w:color="auto" w:fill="auto"/>
            <w:noWrap/>
            <w:vAlign w:val="bottom"/>
            <w:hideMark/>
          </w:tcPr>
          <w:p w14:paraId="6D0334BF" w14:textId="36336881" w:rsidR="00C0588D" w:rsidRPr="008E3B36" w:rsidRDefault="003D34A6" w:rsidP="007C2A62">
            <w:pPr>
              <w:rPr>
                <w:rFonts w:cstheme="minorHAnsi"/>
                <w:szCs w:val="22"/>
                <w:vertAlign w:val="subscript"/>
              </w:rPr>
            </w:pPr>
            <w:r>
              <w:rPr>
                <w:rFonts w:cstheme="minorHAnsi"/>
                <w:szCs w:val="22"/>
              </w:rPr>
              <w:t>CEM</w:t>
            </w:r>
          </w:p>
        </w:tc>
        <w:tc>
          <w:tcPr>
            <w:tcW w:w="8240" w:type="dxa"/>
            <w:tcBorders>
              <w:top w:val="nil"/>
              <w:left w:val="nil"/>
              <w:bottom w:val="nil"/>
              <w:right w:val="nil"/>
            </w:tcBorders>
            <w:shd w:val="clear" w:color="auto" w:fill="auto"/>
            <w:noWrap/>
            <w:vAlign w:val="center"/>
            <w:hideMark/>
          </w:tcPr>
          <w:p w14:paraId="2F0B6E16" w14:textId="3671377A" w:rsidR="00C0588D" w:rsidRPr="009F7818" w:rsidRDefault="003D34A6" w:rsidP="007C2A62">
            <w:pPr>
              <w:rPr>
                <w:rFonts w:cstheme="minorHAnsi"/>
                <w:szCs w:val="22"/>
              </w:rPr>
            </w:pPr>
            <w:r>
              <w:rPr>
                <w:rFonts w:cstheme="minorHAnsi"/>
                <w:szCs w:val="22"/>
              </w:rPr>
              <w:t>Clean Energy Ministerial</w:t>
            </w:r>
          </w:p>
        </w:tc>
      </w:tr>
      <w:tr w:rsidR="00C0588D" w:rsidRPr="0002363F" w14:paraId="22BB0B13" w14:textId="77777777" w:rsidTr="007C2A62">
        <w:trPr>
          <w:trHeight w:val="340"/>
        </w:trPr>
        <w:tc>
          <w:tcPr>
            <w:tcW w:w="1426" w:type="dxa"/>
            <w:tcBorders>
              <w:top w:val="nil"/>
              <w:left w:val="nil"/>
              <w:bottom w:val="nil"/>
              <w:right w:val="nil"/>
            </w:tcBorders>
            <w:shd w:val="clear" w:color="auto" w:fill="auto"/>
            <w:noWrap/>
            <w:vAlign w:val="bottom"/>
          </w:tcPr>
          <w:p w14:paraId="45BDA2D0" w14:textId="77777777" w:rsidR="00C0588D" w:rsidRPr="004A3C50" w:rsidRDefault="00C0588D" w:rsidP="007C2A62">
            <w:pPr>
              <w:rPr>
                <w:rFonts w:cstheme="minorHAnsi"/>
                <w:szCs w:val="22"/>
              </w:rPr>
            </w:pPr>
            <w:r>
              <w:rPr>
                <w:rFonts w:cstheme="minorHAnsi"/>
                <w:szCs w:val="22"/>
              </w:rPr>
              <w:t>FCEV</w:t>
            </w:r>
          </w:p>
        </w:tc>
        <w:tc>
          <w:tcPr>
            <w:tcW w:w="8240" w:type="dxa"/>
            <w:tcBorders>
              <w:top w:val="nil"/>
              <w:left w:val="nil"/>
              <w:bottom w:val="nil"/>
              <w:right w:val="nil"/>
            </w:tcBorders>
            <w:shd w:val="clear" w:color="auto" w:fill="auto"/>
            <w:noWrap/>
            <w:vAlign w:val="center"/>
          </w:tcPr>
          <w:p w14:paraId="171BDB5C" w14:textId="77777777" w:rsidR="00C0588D" w:rsidRPr="0091100C" w:rsidRDefault="00C0588D" w:rsidP="007C2A62">
            <w:pPr>
              <w:rPr>
                <w:rFonts w:cstheme="minorHAnsi"/>
                <w:szCs w:val="22"/>
              </w:rPr>
            </w:pPr>
            <w:r>
              <w:rPr>
                <w:rFonts w:cstheme="minorHAnsi"/>
                <w:szCs w:val="22"/>
              </w:rPr>
              <w:t>Fuel cell electric vehicle powered by hydrogen</w:t>
            </w:r>
          </w:p>
        </w:tc>
      </w:tr>
      <w:tr w:rsidR="00C0588D" w:rsidRPr="0002363F" w14:paraId="176AB504" w14:textId="77777777" w:rsidTr="007C2A62">
        <w:trPr>
          <w:trHeight w:val="320"/>
        </w:trPr>
        <w:tc>
          <w:tcPr>
            <w:tcW w:w="1426" w:type="dxa"/>
            <w:tcBorders>
              <w:top w:val="nil"/>
              <w:left w:val="nil"/>
              <w:bottom w:val="nil"/>
              <w:right w:val="nil"/>
            </w:tcBorders>
            <w:shd w:val="clear" w:color="auto" w:fill="auto"/>
            <w:noWrap/>
            <w:vAlign w:val="bottom"/>
            <w:hideMark/>
          </w:tcPr>
          <w:p w14:paraId="7CA4A9A5" w14:textId="77777777" w:rsidR="00C0588D" w:rsidRPr="007D4A9B" w:rsidRDefault="00C0588D" w:rsidP="007C2A62">
            <w:pPr>
              <w:rPr>
                <w:rFonts w:cstheme="minorHAnsi"/>
                <w:szCs w:val="22"/>
              </w:rPr>
            </w:pPr>
            <w:r w:rsidRPr="004A3C50">
              <w:rPr>
                <w:rFonts w:cstheme="minorHAnsi"/>
                <w:szCs w:val="22"/>
              </w:rPr>
              <w:t>GHG</w:t>
            </w:r>
          </w:p>
        </w:tc>
        <w:tc>
          <w:tcPr>
            <w:tcW w:w="8240" w:type="dxa"/>
            <w:tcBorders>
              <w:top w:val="nil"/>
              <w:left w:val="nil"/>
              <w:bottom w:val="nil"/>
              <w:right w:val="nil"/>
            </w:tcBorders>
            <w:shd w:val="clear" w:color="auto" w:fill="auto"/>
            <w:noWrap/>
            <w:vAlign w:val="center"/>
            <w:hideMark/>
          </w:tcPr>
          <w:p w14:paraId="540D25A9" w14:textId="77777777" w:rsidR="00C0588D" w:rsidRPr="0091100C" w:rsidRDefault="00C0588D" w:rsidP="007C2A62">
            <w:pPr>
              <w:rPr>
                <w:rFonts w:cstheme="minorHAnsi"/>
                <w:szCs w:val="22"/>
              </w:rPr>
            </w:pPr>
            <w:r w:rsidRPr="00F814E4">
              <w:rPr>
                <w:rFonts w:cstheme="minorHAnsi"/>
                <w:szCs w:val="22"/>
              </w:rPr>
              <w:t>Greenhouse gas</w:t>
            </w:r>
          </w:p>
        </w:tc>
      </w:tr>
      <w:tr w:rsidR="00B42CE7" w:rsidRPr="0002363F" w14:paraId="6A3B4728" w14:textId="77777777" w:rsidTr="007C2A62">
        <w:trPr>
          <w:trHeight w:val="320"/>
        </w:trPr>
        <w:tc>
          <w:tcPr>
            <w:tcW w:w="1426" w:type="dxa"/>
            <w:tcBorders>
              <w:top w:val="nil"/>
              <w:left w:val="nil"/>
              <w:bottom w:val="nil"/>
              <w:right w:val="nil"/>
            </w:tcBorders>
            <w:shd w:val="clear" w:color="auto" w:fill="auto"/>
            <w:noWrap/>
            <w:vAlign w:val="bottom"/>
          </w:tcPr>
          <w:p w14:paraId="4F97C7CB" w14:textId="79A730DE" w:rsidR="00B42CE7" w:rsidRPr="004A3C50" w:rsidRDefault="00B42CE7" w:rsidP="007C2A62">
            <w:pPr>
              <w:rPr>
                <w:rFonts w:cstheme="minorHAnsi"/>
                <w:szCs w:val="22"/>
              </w:rPr>
            </w:pPr>
            <w:r>
              <w:rPr>
                <w:rFonts w:cstheme="minorHAnsi"/>
                <w:szCs w:val="22"/>
              </w:rPr>
              <w:t>GSE</w:t>
            </w:r>
          </w:p>
        </w:tc>
        <w:tc>
          <w:tcPr>
            <w:tcW w:w="8240" w:type="dxa"/>
            <w:tcBorders>
              <w:top w:val="nil"/>
              <w:left w:val="nil"/>
              <w:bottom w:val="nil"/>
              <w:right w:val="nil"/>
            </w:tcBorders>
            <w:shd w:val="clear" w:color="auto" w:fill="auto"/>
            <w:noWrap/>
            <w:vAlign w:val="center"/>
          </w:tcPr>
          <w:p w14:paraId="0CD88A38" w14:textId="6F2802E4" w:rsidR="00B42CE7" w:rsidRPr="00F814E4" w:rsidRDefault="00B42CE7" w:rsidP="007C2A62">
            <w:pPr>
              <w:rPr>
                <w:rFonts w:cstheme="minorHAnsi"/>
                <w:szCs w:val="22"/>
              </w:rPr>
            </w:pPr>
            <w:r>
              <w:rPr>
                <w:rFonts w:cstheme="minorHAnsi"/>
                <w:szCs w:val="22"/>
              </w:rPr>
              <w:t>Ground support equipment</w:t>
            </w:r>
          </w:p>
        </w:tc>
      </w:tr>
      <w:tr w:rsidR="00C0588D" w:rsidRPr="0002363F" w14:paraId="3CF4707D" w14:textId="77777777" w:rsidTr="007C2A62">
        <w:trPr>
          <w:trHeight w:val="320"/>
        </w:trPr>
        <w:tc>
          <w:tcPr>
            <w:tcW w:w="1426" w:type="dxa"/>
            <w:tcBorders>
              <w:top w:val="nil"/>
              <w:left w:val="nil"/>
              <w:bottom w:val="nil"/>
              <w:right w:val="nil"/>
            </w:tcBorders>
            <w:shd w:val="clear" w:color="auto" w:fill="auto"/>
            <w:noWrap/>
            <w:vAlign w:val="bottom"/>
          </w:tcPr>
          <w:p w14:paraId="73AF0E27" w14:textId="77777777" w:rsidR="00C0588D" w:rsidRPr="00DB7697" w:rsidRDefault="00C0588D" w:rsidP="007C2A62">
            <w:pPr>
              <w:rPr>
                <w:rFonts w:cstheme="minorHAnsi"/>
                <w:szCs w:val="22"/>
              </w:rPr>
            </w:pPr>
            <w:r>
              <w:rPr>
                <w:rFonts w:cstheme="minorHAnsi"/>
                <w:szCs w:val="22"/>
              </w:rPr>
              <w:t>G</w:t>
            </w:r>
            <w:r>
              <w:rPr>
                <w:rFonts w:cstheme="minorHAnsi"/>
              </w:rPr>
              <w:t>TW</w:t>
            </w:r>
          </w:p>
        </w:tc>
        <w:tc>
          <w:tcPr>
            <w:tcW w:w="8240" w:type="dxa"/>
            <w:tcBorders>
              <w:top w:val="nil"/>
              <w:left w:val="nil"/>
              <w:bottom w:val="nil"/>
              <w:right w:val="nil"/>
            </w:tcBorders>
            <w:shd w:val="clear" w:color="auto" w:fill="auto"/>
            <w:noWrap/>
            <w:vAlign w:val="center"/>
          </w:tcPr>
          <w:p w14:paraId="1DBED4BF" w14:textId="77777777" w:rsidR="00C0588D" w:rsidRPr="00DB7697" w:rsidRDefault="00C0588D" w:rsidP="007C2A62">
            <w:pPr>
              <w:rPr>
                <w:rFonts w:cstheme="minorHAnsi"/>
                <w:szCs w:val="22"/>
              </w:rPr>
            </w:pPr>
            <w:r>
              <w:rPr>
                <w:rFonts w:cstheme="minorHAnsi"/>
                <w:szCs w:val="22"/>
              </w:rPr>
              <w:t>G</w:t>
            </w:r>
            <w:r>
              <w:rPr>
                <w:rFonts w:cstheme="minorHAnsi"/>
              </w:rPr>
              <w:t>ross train weight</w:t>
            </w:r>
          </w:p>
        </w:tc>
      </w:tr>
      <w:tr w:rsidR="00C0588D" w:rsidRPr="0002363F" w14:paraId="46E9BB43" w14:textId="77777777" w:rsidTr="007C2A62">
        <w:trPr>
          <w:trHeight w:val="320"/>
        </w:trPr>
        <w:tc>
          <w:tcPr>
            <w:tcW w:w="1426" w:type="dxa"/>
            <w:tcBorders>
              <w:top w:val="nil"/>
              <w:left w:val="nil"/>
              <w:bottom w:val="nil"/>
              <w:right w:val="nil"/>
            </w:tcBorders>
            <w:shd w:val="clear" w:color="auto" w:fill="auto"/>
            <w:noWrap/>
            <w:vAlign w:val="bottom"/>
            <w:hideMark/>
          </w:tcPr>
          <w:p w14:paraId="088C41BB" w14:textId="77777777" w:rsidR="00C0588D" w:rsidRPr="007D4A9B" w:rsidRDefault="00C0588D" w:rsidP="007C2A62">
            <w:pPr>
              <w:rPr>
                <w:rFonts w:cstheme="minorHAnsi"/>
                <w:szCs w:val="22"/>
              </w:rPr>
            </w:pPr>
            <w:r w:rsidRPr="004A3C50">
              <w:rPr>
                <w:rFonts w:cstheme="minorHAnsi"/>
                <w:szCs w:val="22"/>
              </w:rPr>
              <w:t>GVWR</w:t>
            </w:r>
          </w:p>
        </w:tc>
        <w:tc>
          <w:tcPr>
            <w:tcW w:w="8240" w:type="dxa"/>
            <w:tcBorders>
              <w:top w:val="nil"/>
              <w:left w:val="nil"/>
              <w:bottom w:val="nil"/>
              <w:right w:val="nil"/>
            </w:tcBorders>
            <w:shd w:val="clear" w:color="auto" w:fill="auto"/>
            <w:noWrap/>
            <w:vAlign w:val="center"/>
            <w:hideMark/>
          </w:tcPr>
          <w:p w14:paraId="07C26001" w14:textId="77777777" w:rsidR="00C0588D" w:rsidRPr="0091100C" w:rsidRDefault="00C0588D" w:rsidP="007C2A62">
            <w:pPr>
              <w:rPr>
                <w:rFonts w:cstheme="minorHAnsi"/>
                <w:szCs w:val="22"/>
              </w:rPr>
            </w:pPr>
            <w:r w:rsidRPr="00F814E4">
              <w:rPr>
                <w:rFonts w:cstheme="minorHAnsi"/>
                <w:szCs w:val="22"/>
              </w:rPr>
              <w:t>Gross vehicle weight rating</w:t>
            </w:r>
          </w:p>
        </w:tc>
      </w:tr>
      <w:tr w:rsidR="00C0588D" w:rsidRPr="0002363F" w14:paraId="50CCC8A7" w14:textId="77777777" w:rsidTr="007C2A62">
        <w:trPr>
          <w:trHeight w:val="320"/>
        </w:trPr>
        <w:tc>
          <w:tcPr>
            <w:tcW w:w="1426" w:type="dxa"/>
            <w:tcBorders>
              <w:top w:val="nil"/>
              <w:left w:val="nil"/>
              <w:bottom w:val="nil"/>
              <w:right w:val="nil"/>
            </w:tcBorders>
            <w:shd w:val="clear" w:color="auto" w:fill="auto"/>
            <w:noWrap/>
            <w:vAlign w:val="bottom"/>
          </w:tcPr>
          <w:p w14:paraId="0FC1DC53" w14:textId="10DF165C" w:rsidR="00C0588D" w:rsidRPr="004A3C50" w:rsidRDefault="00B42CE7" w:rsidP="007C2A62">
            <w:pPr>
              <w:rPr>
                <w:rFonts w:cstheme="minorHAnsi"/>
                <w:szCs w:val="22"/>
              </w:rPr>
            </w:pPr>
            <w:r>
              <w:rPr>
                <w:rFonts w:cstheme="minorHAnsi"/>
                <w:szCs w:val="22"/>
              </w:rPr>
              <w:t>HVIP</w:t>
            </w:r>
          </w:p>
        </w:tc>
        <w:tc>
          <w:tcPr>
            <w:tcW w:w="8240" w:type="dxa"/>
            <w:tcBorders>
              <w:top w:val="nil"/>
              <w:left w:val="nil"/>
              <w:bottom w:val="nil"/>
              <w:right w:val="nil"/>
            </w:tcBorders>
            <w:shd w:val="clear" w:color="auto" w:fill="auto"/>
            <w:noWrap/>
            <w:vAlign w:val="center"/>
          </w:tcPr>
          <w:p w14:paraId="1B2E0D9C" w14:textId="5969793F" w:rsidR="00C0588D" w:rsidRPr="00F814E4" w:rsidRDefault="008F69AF" w:rsidP="007C2A62">
            <w:pPr>
              <w:rPr>
                <w:rFonts w:cstheme="minorHAnsi"/>
                <w:szCs w:val="22"/>
              </w:rPr>
            </w:pPr>
            <w:r>
              <w:rPr>
                <w:rFonts w:cstheme="minorHAnsi"/>
                <w:szCs w:val="22"/>
              </w:rPr>
              <w:t>Hybrid and Zero-Emission Truck and Bus Voucher Incentive Program</w:t>
            </w:r>
          </w:p>
        </w:tc>
      </w:tr>
      <w:tr w:rsidR="00C0588D" w:rsidRPr="0002363F" w14:paraId="6C1231D3" w14:textId="77777777" w:rsidTr="007C2A62">
        <w:trPr>
          <w:trHeight w:val="320"/>
        </w:trPr>
        <w:tc>
          <w:tcPr>
            <w:tcW w:w="1426" w:type="dxa"/>
            <w:tcBorders>
              <w:top w:val="nil"/>
              <w:left w:val="nil"/>
              <w:bottom w:val="nil"/>
              <w:right w:val="nil"/>
            </w:tcBorders>
            <w:shd w:val="clear" w:color="auto" w:fill="auto"/>
            <w:noWrap/>
            <w:vAlign w:val="bottom"/>
          </w:tcPr>
          <w:p w14:paraId="42D1AC6F" w14:textId="77777777" w:rsidR="00C0588D" w:rsidRPr="004A3C50" w:rsidRDefault="00C0588D" w:rsidP="007C2A62">
            <w:pPr>
              <w:rPr>
                <w:rFonts w:cstheme="minorHAnsi"/>
                <w:szCs w:val="22"/>
              </w:rPr>
            </w:pPr>
            <w:r>
              <w:rPr>
                <w:rFonts w:cstheme="minorHAnsi"/>
                <w:szCs w:val="22"/>
              </w:rPr>
              <w:t>k</w:t>
            </w:r>
            <w:r>
              <w:rPr>
                <w:rFonts w:cstheme="minorHAnsi"/>
              </w:rPr>
              <w:t>W</w:t>
            </w:r>
          </w:p>
        </w:tc>
        <w:tc>
          <w:tcPr>
            <w:tcW w:w="8240" w:type="dxa"/>
            <w:tcBorders>
              <w:top w:val="nil"/>
              <w:left w:val="nil"/>
              <w:bottom w:val="nil"/>
              <w:right w:val="nil"/>
            </w:tcBorders>
            <w:shd w:val="clear" w:color="auto" w:fill="auto"/>
            <w:noWrap/>
            <w:vAlign w:val="center"/>
          </w:tcPr>
          <w:p w14:paraId="00D0F9F7" w14:textId="77777777" w:rsidR="00C0588D" w:rsidRPr="00F814E4" w:rsidRDefault="00C0588D" w:rsidP="007C2A62">
            <w:pPr>
              <w:rPr>
                <w:rFonts w:cstheme="minorHAnsi"/>
                <w:szCs w:val="22"/>
              </w:rPr>
            </w:pPr>
            <w:r>
              <w:rPr>
                <w:rFonts w:cstheme="minorHAnsi"/>
                <w:szCs w:val="22"/>
              </w:rPr>
              <w:t>K</w:t>
            </w:r>
            <w:r>
              <w:rPr>
                <w:rFonts w:cstheme="minorHAnsi"/>
              </w:rPr>
              <w:t>ilowatt</w:t>
            </w:r>
          </w:p>
        </w:tc>
      </w:tr>
      <w:tr w:rsidR="00C0588D" w:rsidRPr="00DB7697" w14:paraId="2010EF22" w14:textId="77777777" w:rsidTr="007C2A62">
        <w:trPr>
          <w:trHeight w:val="320"/>
        </w:trPr>
        <w:tc>
          <w:tcPr>
            <w:tcW w:w="1426" w:type="dxa"/>
            <w:tcBorders>
              <w:top w:val="nil"/>
              <w:left w:val="nil"/>
              <w:bottom w:val="nil"/>
              <w:right w:val="nil"/>
            </w:tcBorders>
            <w:shd w:val="clear" w:color="auto" w:fill="auto"/>
            <w:noWrap/>
            <w:vAlign w:val="bottom"/>
          </w:tcPr>
          <w:p w14:paraId="79D4EED7" w14:textId="77777777" w:rsidR="00C0588D" w:rsidRDefault="00C0588D" w:rsidP="007C2A62">
            <w:pPr>
              <w:rPr>
                <w:rFonts w:cstheme="minorHAnsi"/>
                <w:szCs w:val="22"/>
              </w:rPr>
            </w:pPr>
            <w:r>
              <w:rPr>
                <w:rFonts w:cstheme="minorHAnsi"/>
                <w:szCs w:val="22"/>
              </w:rPr>
              <w:t>LCFS</w:t>
            </w:r>
          </w:p>
        </w:tc>
        <w:tc>
          <w:tcPr>
            <w:tcW w:w="8240" w:type="dxa"/>
            <w:tcBorders>
              <w:top w:val="nil"/>
              <w:left w:val="nil"/>
              <w:bottom w:val="nil"/>
              <w:right w:val="nil"/>
            </w:tcBorders>
            <w:shd w:val="clear" w:color="auto" w:fill="auto"/>
            <w:noWrap/>
            <w:vAlign w:val="center"/>
          </w:tcPr>
          <w:p w14:paraId="78DBB739" w14:textId="77777777" w:rsidR="00C0588D" w:rsidRDefault="00C0588D" w:rsidP="007C2A62">
            <w:pPr>
              <w:rPr>
                <w:rFonts w:cstheme="minorHAnsi"/>
                <w:szCs w:val="22"/>
              </w:rPr>
            </w:pPr>
            <w:r>
              <w:rPr>
                <w:rFonts w:cstheme="minorHAnsi"/>
                <w:szCs w:val="22"/>
              </w:rPr>
              <w:t>Low-carbon fuel standard</w:t>
            </w:r>
          </w:p>
        </w:tc>
      </w:tr>
      <w:tr w:rsidR="00C0588D" w:rsidRPr="00DB7697" w14:paraId="11D28D67" w14:textId="77777777" w:rsidTr="007C2A62">
        <w:trPr>
          <w:trHeight w:val="320"/>
        </w:trPr>
        <w:tc>
          <w:tcPr>
            <w:tcW w:w="1426" w:type="dxa"/>
            <w:tcBorders>
              <w:top w:val="nil"/>
              <w:left w:val="nil"/>
              <w:bottom w:val="nil"/>
              <w:right w:val="nil"/>
            </w:tcBorders>
            <w:shd w:val="clear" w:color="auto" w:fill="auto"/>
            <w:noWrap/>
            <w:vAlign w:val="bottom"/>
          </w:tcPr>
          <w:p w14:paraId="44B2B4B5" w14:textId="468FEC28" w:rsidR="00C0588D" w:rsidRPr="00715ED9" w:rsidRDefault="00C0588D" w:rsidP="007C2A62">
            <w:pPr>
              <w:rPr>
                <w:rFonts w:cstheme="minorHAnsi"/>
                <w:szCs w:val="22"/>
              </w:rPr>
            </w:pPr>
            <w:r>
              <w:rPr>
                <w:rFonts w:cstheme="minorHAnsi"/>
                <w:szCs w:val="22"/>
              </w:rPr>
              <w:t>MH</w:t>
            </w:r>
            <w:r>
              <w:rPr>
                <w:rFonts w:cstheme="minorHAnsi"/>
              </w:rPr>
              <w:t>D</w:t>
            </w:r>
          </w:p>
        </w:tc>
        <w:tc>
          <w:tcPr>
            <w:tcW w:w="8240" w:type="dxa"/>
            <w:tcBorders>
              <w:top w:val="nil"/>
              <w:left w:val="nil"/>
              <w:bottom w:val="nil"/>
              <w:right w:val="nil"/>
            </w:tcBorders>
            <w:shd w:val="clear" w:color="auto" w:fill="auto"/>
            <w:noWrap/>
            <w:vAlign w:val="center"/>
          </w:tcPr>
          <w:p w14:paraId="16CB56ED" w14:textId="1A639F50" w:rsidR="00C0588D" w:rsidRPr="00715ED9" w:rsidRDefault="00C0588D" w:rsidP="007C2A62">
            <w:pPr>
              <w:rPr>
                <w:rFonts w:cstheme="minorHAnsi"/>
                <w:szCs w:val="22"/>
              </w:rPr>
            </w:pPr>
            <w:r>
              <w:rPr>
                <w:rFonts w:cstheme="minorHAnsi"/>
                <w:szCs w:val="22"/>
              </w:rPr>
              <w:t>Medium-hea</w:t>
            </w:r>
            <w:r>
              <w:rPr>
                <w:rFonts w:cstheme="minorHAnsi"/>
              </w:rPr>
              <w:t xml:space="preserve">vy </w:t>
            </w:r>
            <w:r>
              <w:rPr>
                <w:rFonts w:cstheme="minorHAnsi"/>
                <w:szCs w:val="22"/>
              </w:rPr>
              <w:t xml:space="preserve">duty </w:t>
            </w:r>
          </w:p>
        </w:tc>
      </w:tr>
      <w:tr w:rsidR="00C0588D" w:rsidRPr="0002363F" w14:paraId="060DB25C" w14:textId="77777777" w:rsidTr="007C2A62">
        <w:trPr>
          <w:trHeight w:val="340"/>
        </w:trPr>
        <w:tc>
          <w:tcPr>
            <w:tcW w:w="1426" w:type="dxa"/>
            <w:tcBorders>
              <w:top w:val="nil"/>
              <w:left w:val="nil"/>
              <w:bottom w:val="nil"/>
              <w:right w:val="nil"/>
            </w:tcBorders>
            <w:shd w:val="clear" w:color="auto" w:fill="auto"/>
            <w:noWrap/>
            <w:vAlign w:val="bottom"/>
          </w:tcPr>
          <w:p w14:paraId="5A1FF80D" w14:textId="77777777" w:rsidR="00C0588D" w:rsidRPr="004A3C50" w:rsidRDefault="00C0588D" w:rsidP="007C2A62">
            <w:pPr>
              <w:rPr>
                <w:rFonts w:cstheme="minorHAnsi"/>
                <w:szCs w:val="22"/>
              </w:rPr>
            </w:pPr>
            <w:r>
              <w:rPr>
                <w:rFonts w:cstheme="minorHAnsi"/>
                <w:szCs w:val="22"/>
              </w:rPr>
              <w:t>NZEV</w:t>
            </w:r>
          </w:p>
        </w:tc>
        <w:tc>
          <w:tcPr>
            <w:tcW w:w="8240" w:type="dxa"/>
            <w:tcBorders>
              <w:top w:val="nil"/>
              <w:left w:val="nil"/>
              <w:bottom w:val="nil"/>
              <w:right w:val="nil"/>
            </w:tcBorders>
            <w:shd w:val="clear" w:color="auto" w:fill="auto"/>
            <w:noWrap/>
            <w:vAlign w:val="center"/>
          </w:tcPr>
          <w:p w14:paraId="177BDE59" w14:textId="77777777" w:rsidR="00C0588D" w:rsidRPr="0091100C" w:rsidRDefault="00C0588D" w:rsidP="007C2A62">
            <w:pPr>
              <w:rPr>
                <w:rFonts w:cstheme="minorHAnsi"/>
                <w:szCs w:val="22"/>
              </w:rPr>
            </w:pPr>
            <w:r>
              <w:rPr>
                <w:rFonts w:cstheme="minorHAnsi"/>
                <w:szCs w:val="22"/>
              </w:rPr>
              <w:t>Near-zero emission vehicle</w:t>
            </w:r>
          </w:p>
        </w:tc>
      </w:tr>
      <w:tr w:rsidR="00AE2221" w:rsidRPr="00DB7697" w14:paraId="4F3DFF53" w14:textId="77777777" w:rsidTr="007C2A62">
        <w:trPr>
          <w:trHeight w:val="320"/>
        </w:trPr>
        <w:tc>
          <w:tcPr>
            <w:tcW w:w="1426" w:type="dxa"/>
            <w:tcBorders>
              <w:top w:val="nil"/>
              <w:left w:val="nil"/>
              <w:bottom w:val="nil"/>
              <w:right w:val="nil"/>
            </w:tcBorders>
            <w:shd w:val="clear" w:color="auto" w:fill="auto"/>
            <w:noWrap/>
            <w:vAlign w:val="bottom"/>
          </w:tcPr>
          <w:p w14:paraId="31DB7D9D" w14:textId="137122D7" w:rsidR="00AE2221" w:rsidRDefault="00AE2221" w:rsidP="007C2A62">
            <w:pPr>
              <w:rPr>
                <w:rFonts w:cstheme="minorHAnsi"/>
                <w:szCs w:val="22"/>
              </w:rPr>
            </w:pPr>
            <w:r>
              <w:rPr>
                <w:rFonts w:cstheme="minorHAnsi"/>
                <w:szCs w:val="22"/>
              </w:rPr>
              <w:t>OC</w:t>
            </w:r>
            <w:r w:rsidR="00AB043C">
              <w:rPr>
                <w:rFonts w:cstheme="minorHAnsi"/>
                <w:szCs w:val="22"/>
              </w:rPr>
              <w:t>PI</w:t>
            </w:r>
          </w:p>
        </w:tc>
        <w:tc>
          <w:tcPr>
            <w:tcW w:w="8240" w:type="dxa"/>
            <w:tcBorders>
              <w:top w:val="nil"/>
              <w:left w:val="nil"/>
              <w:bottom w:val="nil"/>
              <w:right w:val="nil"/>
            </w:tcBorders>
            <w:shd w:val="clear" w:color="auto" w:fill="auto"/>
            <w:noWrap/>
            <w:vAlign w:val="center"/>
          </w:tcPr>
          <w:p w14:paraId="4C6EBC63" w14:textId="0675CC99" w:rsidR="00AE2221" w:rsidRDefault="00AB043C" w:rsidP="007C2A62">
            <w:pPr>
              <w:rPr>
                <w:rFonts w:cstheme="minorHAnsi"/>
                <w:szCs w:val="22"/>
              </w:rPr>
            </w:pPr>
            <w:r>
              <w:rPr>
                <w:rFonts w:cstheme="minorHAnsi"/>
                <w:szCs w:val="22"/>
              </w:rPr>
              <w:t>Open charge point interface</w:t>
            </w:r>
          </w:p>
        </w:tc>
      </w:tr>
      <w:tr w:rsidR="00C0588D" w:rsidRPr="00DB7697" w14:paraId="6CBE7505" w14:textId="77777777" w:rsidTr="007C2A62">
        <w:trPr>
          <w:trHeight w:val="320"/>
        </w:trPr>
        <w:tc>
          <w:tcPr>
            <w:tcW w:w="1426" w:type="dxa"/>
            <w:tcBorders>
              <w:top w:val="nil"/>
              <w:left w:val="nil"/>
              <w:bottom w:val="nil"/>
              <w:right w:val="nil"/>
            </w:tcBorders>
            <w:shd w:val="clear" w:color="auto" w:fill="auto"/>
            <w:noWrap/>
            <w:vAlign w:val="bottom"/>
          </w:tcPr>
          <w:p w14:paraId="38989368" w14:textId="77777777" w:rsidR="00C0588D" w:rsidRPr="00715ED9" w:rsidRDefault="00C0588D" w:rsidP="007C2A62">
            <w:pPr>
              <w:rPr>
                <w:rFonts w:cstheme="minorHAnsi"/>
                <w:szCs w:val="22"/>
              </w:rPr>
            </w:pPr>
            <w:r>
              <w:rPr>
                <w:rFonts w:cstheme="minorHAnsi"/>
                <w:szCs w:val="22"/>
              </w:rPr>
              <w:t>TRL</w:t>
            </w:r>
          </w:p>
        </w:tc>
        <w:tc>
          <w:tcPr>
            <w:tcW w:w="8240" w:type="dxa"/>
            <w:tcBorders>
              <w:top w:val="nil"/>
              <w:left w:val="nil"/>
              <w:bottom w:val="nil"/>
              <w:right w:val="nil"/>
            </w:tcBorders>
            <w:shd w:val="clear" w:color="auto" w:fill="auto"/>
            <w:noWrap/>
            <w:vAlign w:val="center"/>
          </w:tcPr>
          <w:p w14:paraId="505BCC6E" w14:textId="77777777" w:rsidR="00C0588D" w:rsidRPr="00715ED9" w:rsidRDefault="00C0588D" w:rsidP="007C2A62">
            <w:pPr>
              <w:rPr>
                <w:rFonts w:cstheme="minorHAnsi"/>
                <w:szCs w:val="22"/>
              </w:rPr>
            </w:pPr>
            <w:r>
              <w:rPr>
                <w:rFonts w:cstheme="minorHAnsi"/>
                <w:szCs w:val="22"/>
              </w:rPr>
              <w:t>Technology readiness level</w:t>
            </w:r>
          </w:p>
        </w:tc>
      </w:tr>
      <w:tr w:rsidR="00C0588D" w:rsidRPr="00DB7697" w14:paraId="3580D36D" w14:textId="77777777" w:rsidTr="007C2A62">
        <w:trPr>
          <w:trHeight w:val="320"/>
        </w:trPr>
        <w:tc>
          <w:tcPr>
            <w:tcW w:w="1426" w:type="dxa"/>
            <w:tcBorders>
              <w:top w:val="nil"/>
              <w:left w:val="nil"/>
              <w:bottom w:val="nil"/>
              <w:right w:val="nil"/>
            </w:tcBorders>
            <w:shd w:val="clear" w:color="auto" w:fill="auto"/>
            <w:noWrap/>
            <w:vAlign w:val="bottom"/>
          </w:tcPr>
          <w:p w14:paraId="6B0348D1" w14:textId="70C212AF" w:rsidR="00C0588D" w:rsidRPr="00EE1675" w:rsidRDefault="00C0588D" w:rsidP="007C2A62">
            <w:pPr>
              <w:rPr>
                <w:rFonts w:cstheme="minorHAnsi"/>
                <w:szCs w:val="22"/>
              </w:rPr>
            </w:pPr>
            <w:r>
              <w:rPr>
                <w:rFonts w:cstheme="minorHAnsi"/>
                <w:szCs w:val="22"/>
              </w:rPr>
              <w:t>ZE</w:t>
            </w:r>
            <w:r w:rsidR="00AE2221">
              <w:rPr>
                <w:rFonts w:cstheme="minorHAnsi"/>
                <w:szCs w:val="22"/>
              </w:rPr>
              <w:t>C</w:t>
            </w:r>
            <w:r>
              <w:rPr>
                <w:rFonts w:cstheme="minorHAnsi"/>
                <w:szCs w:val="22"/>
              </w:rPr>
              <w:t>V</w:t>
            </w:r>
          </w:p>
        </w:tc>
        <w:tc>
          <w:tcPr>
            <w:tcW w:w="8240" w:type="dxa"/>
            <w:tcBorders>
              <w:top w:val="nil"/>
              <w:left w:val="nil"/>
              <w:bottom w:val="nil"/>
              <w:right w:val="nil"/>
            </w:tcBorders>
            <w:shd w:val="clear" w:color="auto" w:fill="auto"/>
            <w:noWrap/>
            <w:vAlign w:val="center"/>
          </w:tcPr>
          <w:p w14:paraId="780D68F7" w14:textId="6053BA8F" w:rsidR="00C0588D" w:rsidRPr="00EE1675" w:rsidRDefault="00C0588D" w:rsidP="007C2A62">
            <w:pPr>
              <w:rPr>
                <w:rFonts w:cstheme="minorHAnsi"/>
                <w:szCs w:val="22"/>
              </w:rPr>
            </w:pPr>
            <w:r>
              <w:rPr>
                <w:rFonts w:cstheme="minorHAnsi"/>
                <w:szCs w:val="22"/>
              </w:rPr>
              <w:t xml:space="preserve">Zero-emission </w:t>
            </w:r>
            <w:r w:rsidR="00AE2221">
              <w:rPr>
                <w:rFonts w:cstheme="minorHAnsi"/>
                <w:szCs w:val="22"/>
              </w:rPr>
              <w:t xml:space="preserve">commercial </w:t>
            </w:r>
            <w:r>
              <w:rPr>
                <w:rFonts w:cstheme="minorHAnsi"/>
                <w:szCs w:val="22"/>
              </w:rPr>
              <w:t>vehicle</w:t>
            </w:r>
          </w:p>
        </w:tc>
      </w:tr>
      <w:tr w:rsidR="00C0588D" w:rsidRPr="0002363F" w14:paraId="0316AD71" w14:textId="77777777" w:rsidTr="007C2A62">
        <w:trPr>
          <w:trHeight w:val="320"/>
        </w:trPr>
        <w:tc>
          <w:tcPr>
            <w:tcW w:w="1426" w:type="dxa"/>
            <w:tcBorders>
              <w:top w:val="nil"/>
              <w:left w:val="nil"/>
              <w:bottom w:val="nil"/>
              <w:right w:val="nil"/>
            </w:tcBorders>
            <w:shd w:val="clear" w:color="auto" w:fill="auto"/>
            <w:noWrap/>
            <w:vAlign w:val="bottom"/>
            <w:hideMark/>
          </w:tcPr>
          <w:p w14:paraId="2A3BD4A4" w14:textId="0728EAE0" w:rsidR="00C0588D" w:rsidRPr="007D4A9B" w:rsidRDefault="00C0588D" w:rsidP="007C2A62">
            <w:pPr>
              <w:rPr>
                <w:rFonts w:cstheme="minorHAnsi"/>
                <w:szCs w:val="22"/>
              </w:rPr>
            </w:pPr>
            <w:r w:rsidRPr="004A3C50">
              <w:rPr>
                <w:rFonts w:cstheme="minorHAnsi"/>
                <w:szCs w:val="22"/>
              </w:rPr>
              <w:t>ZE</w:t>
            </w:r>
            <w:r w:rsidR="00483E18">
              <w:rPr>
                <w:rFonts w:cstheme="minorHAnsi"/>
                <w:szCs w:val="22"/>
              </w:rPr>
              <w:t>TI</w:t>
            </w:r>
          </w:p>
        </w:tc>
        <w:tc>
          <w:tcPr>
            <w:tcW w:w="8240" w:type="dxa"/>
            <w:tcBorders>
              <w:top w:val="nil"/>
              <w:left w:val="nil"/>
              <w:bottom w:val="nil"/>
              <w:right w:val="nil"/>
            </w:tcBorders>
            <w:shd w:val="clear" w:color="auto" w:fill="auto"/>
            <w:noWrap/>
            <w:vAlign w:val="center"/>
            <w:hideMark/>
          </w:tcPr>
          <w:p w14:paraId="54595B76" w14:textId="441DFD8C" w:rsidR="00C0588D" w:rsidRPr="0091100C" w:rsidRDefault="00C0588D" w:rsidP="007C2A62">
            <w:pPr>
              <w:rPr>
                <w:rFonts w:cstheme="minorHAnsi"/>
                <w:szCs w:val="22"/>
              </w:rPr>
            </w:pPr>
            <w:r w:rsidRPr="00F814E4">
              <w:rPr>
                <w:rFonts w:cstheme="minorHAnsi"/>
                <w:szCs w:val="22"/>
              </w:rPr>
              <w:t>Zero-</w:t>
            </w:r>
            <w:r w:rsidR="00483E18">
              <w:rPr>
                <w:rFonts w:cstheme="minorHAnsi"/>
                <w:szCs w:val="22"/>
              </w:rPr>
              <w:t>E</w:t>
            </w:r>
            <w:r w:rsidRPr="00F814E4">
              <w:rPr>
                <w:rFonts w:cstheme="minorHAnsi"/>
                <w:szCs w:val="22"/>
              </w:rPr>
              <w:t xml:space="preserve">mission </w:t>
            </w:r>
            <w:r w:rsidR="00483E18">
              <w:rPr>
                <w:rFonts w:cstheme="minorHAnsi"/>
                <w:szCs w:val="22"/>
              </w:rPr>
              <w:t>Technology Inventory</w:t>
            </w:r>
          </w:p>
        </w:tc>
      </w:tr>
    </w:tbl>
    <w:p w14:paraId="4B15F4AD" w14:textId="77777777" w:rsidR="00702A14" w:rsidRDefault="00702A14" w:rsidP="00702A14">
      <w:pPr>
        <w:pStyle w:val="Heading1"/>
      </w:pPr>
    </w:p>
    <w:p w14:paraId="34806D4B" w14:textId="77777777" w:rsidR="00702A14" w:rsidRPr="003D34A6" w:rsidRDefault="00702A14" w:rsidP="00CE3C2B"/>
    <w:p w14:paraId="28D1DE9C" w14:textId="6B7EDF33" w:rsidR="008765B6" w:rsidRDefault="008765B6" w:rsidP="00CE3C2B">
      <w:pPr>
        <w:tabs>
          <w:tab w:val="left" w:pos="8373"/>
        </w:tabs>
        <w:spacing w:before="240" w:after="240"/>
      </w:pPr>
    </w:p>
    <w:p w14:paraId="2B33195C" w14:textId="2FC045FF" w:rsidR="001C6554" w:rsidRDefault="001C6554">
      <w:pPr>
        <w:spacing w:line="276" w:lineRule="auto"/>
        <w:rPr>
          <w:sz w:val="40"/>
          <w:szCs w:val="40"/>
        </w:rPr>
      </w:pPr>
      <w:r>
        <w:br w:type="page"/>
      </w:r>
    </w:p>
    <w:p w14:paraId="5F50A4CC" w14:textId="302DEDBD" w:rsidR="483C2270" w:rsidRDefault="005D3AB1" w:rsidP="005D3AB1">
      <w:pPr>
        <w:pStyle w:val="Heading1"/>
      </w:pPr>
      <w:bookmarkStart w:id="6" w:name="_Toc53065358"/>
      <w:r>
        <w:lastRenderedPageBreak/>
        <w:t>Introduction</w:t>
      </w:r>
      <w:bookmarkEnd w:id="6"/>
    </w:p>
    <w:p w14:paraId="49012C3A" w14:textId="78A1B7B7" w:rsidR="00AD4C97" w:rsidRPr="00052F8A" w:rsidRDefault="00BC6A5E" w:rsidP="00CE3C2B">
      <w:pPr>
        <w:spacing w:before="240" w:after="240"/>
        <w:jc w:val="both"/>
        <w:rPr>
          <w:rFonts w:ascii="Garamond" w:hAnsi="Garamond"/>
        </w:rPr>
      </w:pPr>
      <w:r w:rsidRPr="00052F8A">
        <w:rPr>
          <w:rFonts w:ascii="Garamond" w:hAnsi="Garamond"/>
        </w:rPr>
        <w:t xml:space="preserve">The global market for medium- and heavy-duty commercial vehicles is poised for a complete transformation with the rapid development and deployment of zero-emission commercial vehicle (ZECV) technologies. These </w:t>
      </w:r>
      <w:r w:rsidR="00A94DA0" w:rsidRPr="00052F8A">
        <w:rPr>
          <w:rFonts w:ascii="Garamond" w:hAnsi="Garamond"/>
        </w:rPr>
        <w:t xml:space="preserve">electric- and hydrogen-powered </w:t>
      </w:r>
      <w:r w:rsidRPr="00052F8A">
        <w:rPr>
          <w:rFonts w:ascii="Garamond" w:hAnsi="Garamond"/>
        </w:rPr>
        <w:t>technologies will help improve urban air quality, mitigate climate change, spur industrial innovation</w:t>
      </w:r>
      <w:r w:rsidR="00B12C45">
        <w:rPr>
          <w:rFonts w:ascii="Garamond" w:hAnsi="Garamond"/>
        </w:rPr>
        <w:t>,</w:t>
      </w:r>
      <w:r w:rsidRPr="00052F8A">
        <w:rPr>
          <w:rFonts w:ascii="Garamond" w:hAnsi="Garamond"/>
        </w:rPr>
        <w:t xml:space="preserve"> and create new clean tech jobs.</w:t>
      </w:r>
      <w:r w:rsidR="00A655C1">
        <w:rPr>
          <w:rStyle w:val="FootnoteReference"/>
          <w:rFonts w:ascii="Garamond" w:hAnsi="Garamond"/>
        </w:rPr>
        <w:footnoteReference w:id="2"/>
      </w:r>
      <w:r w:rsidR="00F5445A">
        <w:rPr>
          <w:rStyle w:val="FootnoteReference"/>
          <w:rFonts w:ascii="Garamond" w:hAnsi="Garamond"/>
        </w:rPr>
        <w:footnoteReference w:id="3"/>
      </w:r>
      <w:r w:rsidRPr="00052F8A">
        <w:rPr>
          <w:rFonts w:ascii="Garamond" w:hAnsi="Garamond"/>
        </w:rPr>
        <w:t xml:space="preserve"> China leads the</w:t>
      </w:r>
      <w:r w:rsidR="00CF2256">
        <w:rPr>
          <w:rFonts w:ascii="Garamond" w:hAnsi="Garamond"/>
        </w:rPr>
        <w:t xml:space="preserve"> early</w:t>
      </w:r>
      <w:r w:rsidRPr="00052F8A">
        <w:rPr>
          <w:rFonts w:ascii="Garamond" w:hAnsi="Garamond"/>
        </w:rPr>
        <w:t xml:space="preserve"> global </w:t>
      </w:r>
      <w:r w:rsidR="00CF2256">
        <w:rPr>
          <w:rFonts w:ascii="Garamond" w:hAnsi="Garamond"/>
        </w:rPr>
        <w:t xml:space="preserve">ZECV </w:t>
      </w:r>
      <w:r w:rsidRPr="00052F8A">
        <w:rPr>
          <w:rFonts w:ascii="Garamond" w:hAnsi="Garamond"/>
        </w:rPr>
        <w:t xml:space="preserve">market </w:t>
      </w:r>
      <w:r w:rsidR="00610B08">
        <w:rPr>
          <w:rFonts w:ascii="Garamond" w:hAnsi="Garamond"/>
        </w:rPr>
        <w:t>by a wide margin</w:t>
      </w:r>
      <w:r w:rsidRPr="00052F8A">
        <w:rPr>
          <w:rFonts w:ascii="Garamond" w:hAnsi="Garamond"/>
        </w:rPr>
        <w:t>,</w:t>
      </w:r>
      <w:r w:rsidR="00AD4C97" w:rsidRPr="00052F8A">
        <w:rPr>
          <w:rFonts w:ascii="Garamond" w:hAnsi="Garamond"/>
        </w:rPr>
        <w:t xml:space="preserve"> but other regions across the globe are introducing supportive policies that will expand and </w:t>
      </w:r>
      <w:r w:rsidR="009B5FD8">
        <w:rPr>
          <w:rFonts w:ascii="Garamond" w:hAnsi="Garamond"/>
        </w:rPr>
        <w:t>encourage</w:t>
      </w:r>
      <w:r w:rsidR="009C387D" w:rsidRPr="00052F8A">
        <w:rPr>
          <w:rFonts w:ascii="Garamond" w:hAnsi="Garamond"/>
        </w:rPr>
        <w:t xml:space="preserve"> </w:t>
      </w:r>
      <w:r w:rsidR="00AD4C97" w:rsidRPr="00052F8A">
        <w:rPr>
          <w:rFonts w:ascii="Garamond" w:hAnsi="Garamond"/>
        </w:rPr>
        <w:t xml:space="preserve">ZECV market </w:t>
      </w:r>
      <w:r w:rsidR="00AD4C97" w:rsidRPr="00987141">
        <w:rPr>
          <w:rFonts w:ascii="Garamond" w:hAnsi="Garamond"/>
        </w:rPr>
        <w:t>growth</w:t>
      </w:r>
      <w:r w:rsidR="00CF375C" w:rsidRPr="3E8645EE">
        <w:rPr>
          <w:rFonts w:ascii="Garamond" w:hAnsi="Garamond"/>
        </w:rPr>
        <w:t xml:space="preserve"> </w:t>
      </w:r>
      <w:r w:rsidR="00622E7F" w:rsidRPr="3E8645EE">
        <w:rPr>
          <w:rFonts w:ascii="Garamond" w:hAnsi="Garamond"/>
        </w:rPr>
        <w:t xml:space="preserve">(IEA, 2020) </w:t>
      </w:r>
      <w:r w:rsidR="00CF375C" w:rsidRPr="00341140">
        <w:rPr>
          <w:rFonts w:ascii="Garamond" w:hAnsi="Garamond"/>
        </w:rPr>
        <w:t>(McKinsey, 2018)</w:t>
      </w:r>
      <w:r w:rsidR="00CA1A1F" w:rsidRPr="00341140">
        <w:rPr>
          <w:rFonts w:ascii="Garamond" w:hAnsi="Garamond"/>
        </w:rPr>
        <w:t xml:space="preserve"> (GTM, 2019)</w:t>
      </w:r>
      <w:r w:rsidR="00AD4C97" w:rsidRPr="00987141">
        <w:rPr>
          <w:rFonts w:ascii="Garamond" w:hAnsi="Garamond"/>
        </w:rPr>
        <w:t>.</w:t>
      </w:r>
      <w:r w:rsidR="00AD4C97" w:rsidRPr="00052F8A">
        <w:rPr>
          <w:rFonts w:ascii="Garamond" w:hAnsi="Garamond"/>
        </w:rPr>
        <w:t xml:space="preserve"> To accelerate these trends, CALSTART’s Global Commercial Drive to Zero program (Drive to Zero) aims to enable and </w:t>
      </w:r>
      <w:r w:rsidR="00A2238E">
        <w:rPr>
          <w:rFonts w:ascii="Garamond" w:hAnsi="Garamond"/>
        </w:rPr>
        <w:t>speed</w:t>
      </w:r>
      <w:r w:rsidR="00A2238E" w:rsidRPr="00052F8A">
        <w:rPr>
          <w:rFonts w:ascii="Garamond" w:hAnsi="Garamond"/>
        </w:rPr>
        <w:t xml:space="preserve"> </w:t>
      </w:r>
      <w:r w:rsidR="00AD4C97" w:rsidRPr="00052F8A">
        <w:rPr>
          <w:rFonts w:ascii="Garamond" w:hAnsi="Garamond"/>
        </w:rPr>
        <w:t>the growth of near-zero</w:t>
      </w:r>
      <w:r w:rsidR="00B236DD">
        <w:rPr>
          <w:rStyle w:val="FootnoteReference"/>
          <w:rFonts w:ascii="Garamond" w:hAnsi="Garamond"/>
        </w:rPr>
        <w:footnoteReference w:id="4"/>
      </w:r>
      <w:r w:rsidR="00AD4C97" w:rsidRPr="00052F8A">
        <w:rPr>
          <w:rFonts w:ascii="Garamond" w:hAnsi="Garamond"/>
        </w:rPr>
        <w:t xml:space="preserve"> and ZECVs—beginning with applications where they are most likely to succeed, referred to as first-success or “beachhead” applications, in first-mover regions with supportive policies and incentives. Once these initial footholds have been established, </w:t>
      </w:r>
      <w:r w:rsidR="00AD4C97">
        <w:rPr>
          <w:rFonts w:ascii="Garamond" w:hAnsi="Garamond"/>
        </w:rPr>
        <w:t xml:space="preserve">the </w:t>
      </w:r>
      <w:r w:rsidR="00AD4C97" w:rsidRPr="00052F8A">
        <w:rPr>
          <w:rFonts w:ascii="Garamond" w:hAnsi="Garamond"/>
        </w:rPr>
        <w:t>Drive to Zero</w:t>
      </w:r>
      <w:r w:rsidR="00AD4C97">
        <w:rPr>
          <w:rFonts w:ascii="Garamond" w:hAnsi="Garamond"/>
        </w:rPr>
        <w:t xml:space="preserve"> program</w:t>
      </w:r>
      <w:r w:rsidR="00AD4C97" w:rsidRPr="00052F8A">
        <w:rPr>
          <w:rFonts w:ascii="Garamond" w:hAnsi="Garamond"/>
        </w:rPr>
        <w:t xml:space="preserve"> supports their scaling and expansion with the vision that ZECVs </w:t>
      </w:r>
      <w:r w:rsidR="00AD4C97">
        <w:rPr>
          <w:rFonts w:ascii="Garamond" w:hAnsi="Garamond"/>
        </w:rPr>
        <w:t xml:space="preserve">will </w:t>
      </w:r>
      <w:r w:rsidR="00AD4C97" w:rsidRPr="00052F8A">
        <w:rPr>
          <w:rFonts w:ascii="Garamond" w:hAnsi="Garamond"/>
        </w:rPr>
        <w:t>be commercially viable for beachhead applications in first-mover regions by 2025 and dominate new vehicle sales by 2040.</w:t>
      </w:r>
      <w:r w:rsidR="00501765">
        <w:rPr>
          <w:rFonts w:ascii="Garamond" w:hAnsi="Garamond"/>
        </w:rPr>
        <w:t xml:space="preserve"> </w:t>
      </w:r>
      <w:r w:rsidR="006B0542">
        <w:rPr>
          <w:rFonts w:ascii="Garamond" w:hAnsi="Garamond"/>
        </w:rPr>
        <w:t>This vision for successive vehicle applications that is central to the Drive to Zero program, which is an official campai</w:t>
      </w:r>
      <w:r w:rsidR="00770FE4">
        <w:rPr>
          <w:rFonts w:ascii="Garamond" w:hAnsi="Garamond"/>
        </w:rPr>
        <w:t xml:space="preserve">gn of the Clean Energy Ministerial’s (CEM) Electric Vehicles Initiative (see </w:t>
      </w:r>
      <w:r w:rsidR="001B723D">
        <w:rPr>
          <w:rFonts w:ascii="Garamond" w:hAnsi="Garamond"/>
        </w:rPr>
        <w:t>text box for an introduction to CEM</w:t>
      </w:r>
      <w:r w:rsidR="00770FE4">
        <w:rPr>
          <w:rFonts w:ascii="Garamond" w:hAnsi="Garamond"/>
        </w:rPr>
        <w:t>).</w:t>
      </w:r>
      <w:r w:rsidR="006B0542">
        <w:rPr>
          <w:rFonts w:ascii="Garamond" w:hAnsi="Garamond"/>
        </w:rPr>
        <w:t xml:space="preserve"> </w:t>
      </w:r>
    </w:p>
    <w:p w14:paraId="400E8DD6" w14:textId="13C2B427" w:rsidR="00AD4C97" w:rsidRDefault="00AD4C97" w:rsidP="00CE3C2B">
      <w:pPr>
        <w:spacing w:before="240" w:after="240"/>
        <w:jc w:val="both"/>
        <w:rPr>
          <w:rFonts w:ascii="Garamond" w:hAnsi="Garamond"/>
        </w:rPr>
      </w:pPr>
      <w:r w:rsidRPr="00052F8A">
        <w:rPr>
          <w:rFonts w:ascii="Garamond" w:hAnsi="Garamond"/>
        </w:rPr>
        <w:t>Drive to Zero’s theory of change</w:t>
      </w:r>
      <w:r w:rsidR="00F4111E">
        <w:rPr>
          <w:rFonts w:ascii="Garamond" w:hAnsi="Garamond"/>
        </w:rPr>
        <w:t xml:space="preserve"> is predicated on</w:t>
      </w:r>
      <w:r w:rsidR="00065160">
        <w:rPr>
          <w:rFonts w:ascii="Garamond" w:hAnsi="Garamond"/>
        </w:rPr>
        <w:t xml:space="preserve"> </w:t>
      </w:r>
      <w:r w:rsidRPr="00052F8A">
        <w:rPr>
          <w:rFonts w:ascii="Garamond" w:hAnsi="Garamond"/>
        </w:rPr>
        <w:t>targeting first-success applications where electri</w:t>
      </w:r>
      <w:r>
        <w:rPr>
          <w:rFonts w:ascii="Garamond" w:hAnsi="Garamond"/>
        </w:rPr>
        <w:t>c-</w:t>
      </w:r>
      <w:r w:rsidRPr="00052F8A">
        <w:rPr>
          <w:rFonts w:ascii="Garamond" w:hAnsi="Garamond"/>
        </w:rPr>
        <w:t xml:space="preserve"> and hydrogen</w:t>
      </w:r>
      <w:r>
        <w:rPr>
          <w:rFonts w:ascii="Garamond" w:hAnsi="Garamond"/>
        </w:rPr>
        <w:t>-</w:t>
      </w:r>
      <w:r w:rsidRPr="00052F8A">
        <w:rPr>
          <w:rFonts w:ascii="Garamond" w:hAnsi="Garamond"/>
        </w:rPr>
        <w:t>power</w:t>
      </w:r>
      <w:r>
        <w:rPr>
          <w:rFonts w:ascii="Garamond" w:hAnsi="Garamond"/>
        </w:rPr>
        <w:t xml:space="preserve">ed vehicles are currently viable </w:t>
      </w:r>
      <w:r w:rsidRPr="00052F8A">
        <w:rPr>
          <w:rFonts w:ascii="Garamond" w:hAnsi="Garamond"/>
        </w:rPr>
        <w:t xml:space="preserve">(Chapter 1). </w:t>
      </w:r>
      <w:r w:rsidR="008408A3">
        <w:rPr>
          <w:rFonts w:ascii="Garamond" w:hAnsi="Garamond"/>
        </w:rPr>
        <w:t xml:space="preserve">These ZECV technologies support and accelerate the </w:t>
      </w:r>
      <w:r w:rsidR="009A1B94">
        <w:rPr>
          <w:rFonts w:ascii="Garamond" w:hAnsi="Garamond"/>
        </w:rPr>
        <w:t xml:space="preserve">development of subsequent </w:t>
      </w:r>
      <w:r w:rsidR="00085EB8">
        <w:rPr>
          <w:rFonts w:ascii="Garamond" w:hAnsi="Garamond"/>
        </w:rPr>
        <w:t>follow-on, or</w:t>
      </w:r>
      <w:r w:rsidR="009A1B94">
        <w:rPr>
          <w:rFonts w:ascii="Garamond" w:hAnsi="Garamond"/>
        </w:rPr>
        <w:t xml:space="preserve"> “near early” markets</w:t>
      </w:r>
      <w:r w:rsidR="008408A3">
        <w:rPr>
          <w:rFonts w:ascii="Garamond" w:hAnsi="Garamond"/>
        </w:rPr>
        <w:t xml:space="preserve"> </w:t>
      </w:r>
      <w:r w:rsidRPr="00052F8A">
        <w:rPr>
          <w:rFonts w:ascii="Garamond" w:hAnsi="Garamond"/>
        </w:rPr>
        <w:t>This theory of change is referred to as the “beachhead model”</w:t>
      </w:r>
      <w:r w:rsidR="00F4111E">
        <w:rPr>
          <w:rFonts w:ascii="Garamond" w:hAnsi="Garamond"/>
        </w:rPr>
        <w:t xml:space="preserve"> (</w:t>
      </w:r>
      <w:r>
        <w:rPr>
          <w:rFonts w:ascii="Garamond" w:hAnsi="Garamond"/>
        </w:rPr>
        <w:t>Figure 1</w:t>
      </w:r>
      <w:r w:rsidR="00F4111E">
        <w:rPr>
          <w:rFonts w:ascii="Garamond" w:hAnsi="Garamond"/>
        </w:rPr>
        <w:t>)</w:t>
      </w:r>
      <w:r>
        <w:rPr>
          <w:rFonts w:ascii="Garamond" w:hAnsi="Garamond"/>
        </w:rPr>
        <w:t>.</w:t>
      </w:r>
    </w:p>
    <w:p w14:paraId="496A50CF" w14:textId="77777777" w:rsidR="009869E7" w:rsidRDefault="009869E7">
      <w:pPr>
        <w:spacing w:line="276" w:lineRule="auto"/>
        <w:rPr>
          <w:rStyle w:val="Strong"/>
          <w:bCs w:val="0"/>
        </w:rPr>
      </w:pPr>
      <w:r>
        <w:rPr>
          <w:rStyle w:val="Strong"/>
          <w:b w:val="0"/>
          <w:bCs w:val="0"/>
        </w:rPr>
        <w:br w:type="page"/>
      </w:r>
    </w:p>
    <w:p w14:paraId="55C2CFE5" w14:textId="057DE296" w:rsidR="00AD4C97" w:rsidRPr="00CE3C2B" w:rsidRDefault="00AD4C97" w:rsidP="00CE3C2B">
      <w:pPr>
        <w:pStyle w:val="Figures"/>
        <w:rPr>
          <w:rStyle w:val="Strong"/>
          <w:b/>
          <w:bCs w:val="0"/>
        </w:rPr>
      </w:pPr>
      <w:bookmarkStart w:id="7" w:name="_Toc53065376"/>
      <w:r w:rsidRPr="00CE3C2B">
        <w:rPr>
          <w:rStyle w:val="Strong"/>
          <w:b/>
          <w:bCs w:val="0"/>
        </w:rPr>
        <w:lastRenderedPageBreak/>
        <w:t>Figure 1: The “Beachhead Model” of Successive Vehicle Applications</w:t>
      </w:r>
      <w:bookmarkEnd w:id="7"/>
    </w:p>
    <w:p w14:paraId="5A50F491" w14:textId="77777777" w:rsidR="0094588B" w:rsidRDefault="00AD4C97">
      <w:pPr>
        <w:spacing w:before="240" w:after="240"/>
        <w:rPr>
          <w:rFonts w:ascii="Garamond" w:hAnsi="Garamond"/>
        </w:rPr>
      </w:pPr>
      <w:r w:rsidRPr="00B726DD">
        <w:rPr>
          <w:noProof/>
        </w:rPr>
        <w:drawing>
          <wp:inline distT="0" distB="0" distL="0" distR="0" wp14:anchorId="782AEB9C" wp14:editId="045F61DB">
            <wp:extent cx="5842000" cy="412733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137" cy="4130959"/>
                    </a:xfrm>
                    <a:prstGeom prst="rect">
                      <a:avLst/>
                    </a:prstGeom>
                    <a:noFill/>
                    <a:ln>
                      <a:noFill/>
                    </a:ln>
                  </pic:spPr>
                </pic:pic>
              </a:graphicData>
            </a:graphic>
          </wp:inline>
        </w:drawing>
      </w:r>
    </w:p>
    <w:p w14:paraId="4D0A99A4" w14:textId="0E8B539D" w:rsidR="00AD4C97" w:rsidRDefault="00AD4C97" w:rsidP="00CE3C2B">
      <w:pPr>
        <w:spacing w:before="240" w:after="240"/>
        <w:jc w:val="both"/>
        <w:rPr>
          <w:rFonts w:ascii="Garamond" w:hAnsi="Garamond"/>
        </w:rPr>
      </w:pPr>
      <w:r w:rsidRPr="00052F8A">
        <w:rPr>
          <w:rFonts w:ascii="Garamond" w:hAnsi="Garamond"/>
        </w:rPr>
        <w:t>Because multiple vehicle applications use similar components such as powertrains, batteries, and power electronics, progress in first-success applications will lead to further technolog</w:t>
      </w:r>
      <w:r>
        <w:rPr>
          <w:rFonts w:ascii="Garamond" w:hAnsi="Garamond"/>
        </w:rPr>
        <w:t>ical</w:t>
      </w:r>
      <w:r w:rsidRPr="00052F8A">
        <w:rPr>
          <w:rFonts w:ascii="Garamond" w:hAnsi="Garamond"/>
        </w:rPr>
        <w:t xml:space="preserve"> development and transfer to other on-road, off-road, and marine sectors as components mature, volumes grow, and costs decrease (Chapter 2). However, rapid ZECV deployment will only happen if existing barriers </w:t>
      </w:r>
      <w:r w:rsidR="00E743C2">
        <w:rPr>
          <w:rFonts w:ascii="Garamond" w:hAnsi="Garamond"/>
        </w:rPr>
        <w:t>–</w:t>
      </w:r>
      <w:r w:rsidRPr="00052F8A">
        <w:rPr>
          <w:rFonts w:ascii="Garamond" w:hAnsi="Garamond"/>
        </w:rPr>
        <w:t xml:space="preserve"> </w:t>
      </w:r>
      <w:r w:rsidR="008A5834">
        <w:rPr>
          <w:rFonts w:ascii="Garamond" w:hAnsi="Garamond"/>
        </w:rPr>
        <w:t>s</w:t>
      </w:r>
      <w:r w:rsidR="00E743C2">
        <w:rPr>
          <w:rFonts w:ascii="Garamond" w:hAnsi="Garamond"/>
        </w:rPr>
        <w:t>uch as</w:t>
      </w:r>
      <w:r w:rsidRPr="00052F8A">
        <w:rPr>
          <w:rFonts w:ascii="Garamond" w:hAnsi="Garamond"/>
        </w:rPr>
        <w:t xml:space="preserve"> higher upfront cost and a lack of model availability, enabling policies, infrastructure, and fleet awareness - are tackled through supportive ecosystems of aligned policies, incentives, infrastructure investments</w:t>
      </w:r>
      <w:r>
        <w:rPr>
          <w:rFonts w:ascii="Garamond" w:hAnsi="Garamond"/>
        </w:rPr>
        <w:t>,</w:t>
      </w:r>
      <w:r w:rsidRPr="00052F8A">
        <w:rPr>
          <w:rFonts w:ascii="Garamond" w:hAnsi="Garamond"/>
        </w:rPr>
        <w:t xml:space="preserve"> and pilot projects (Chapter 3). With these steps taken together, the ZECV market will mature rapidly and expand geographically to become commercially viable, dependable, and competitive for a large range of applications.</w:t>
      </w:r>
    </w:p>
    <w:tbl>
      <w:tblPr>
        <w:tblStyle w:val="TableGrid"/>
        <w:tblW w:w="0" w:type="auto"/>
        <w:shd w:val="clear" w:color="auto" w:fill="DBE5F1" w:themeFill="accent1" w:themeFillTint="33"/>
        <w:tblLook w:val="04A0" w:firstRow="1" w:lastRow="0" w:firstColumn="1" w:lastColumn="0" w:noHBand="0" w:noVBand="1"/>
      </w:tblPr>
      <w:tblGrid>
        <w:gridCol w:w="9350"/>
      </w:tblGrid>
      <w:tr w:rsidR="00770FE4" w14:paraId="54E2064D" w14:textId="77777777" w:rsidTr="00CE3C2B">
        <w:tc>
          <w:tcPr>
            <w:tcW w:w="9350" w:type="dxa"/>
            <w:shd w:val="clear" w:color="auto" w:fill="DAEEF3" w:themeFill="accent5" w:themeFillTint="33"/>
          </w:tcPr>
          <w:p w14:paraId="10F1DAFA" w14:textId="700CE8F9" w:rsidR="00770FE4" w:rsidRPr="00CE3C2B" w:rsidRDefault="00770FE4" w:rsidP="00CE3C2B">
            <w:pPr>
              <w:spacing w:line="276" w:lineRule="auto"/>
              <w:jc w:val="both"/>
              <w:rPr>
                <w:rFonts w:asciiTheme="majorHAnsi" w:hAnsiTheme="majorHAnsi" w:cstheme="majorHAnsi"/>
                <w:b/>
                <w:bCs/>
                <w:u w:val="single"/>
              </w:rPr>
            </w:pPr>
            <w:bookmarkStart w:id="8" w:name="_mzyg9z5286oi" w:colFirst="0" w:colLast="0"/>
            <w:bookmarkEnd w:id="8"/>
            <w:r w:rsidRPr="00CE3C2B">
              <w:rPr>
                <w:rFonts w:asciiTheme="majorHAnsi" w:hAnsiTheme="majorHAnsi" w:cstheme="majorHAnsi"/>
                <w:b/>
                <w:bCs/>
                <w:u w:val="single"/>
              </w:rPr>
              <w:t>Recognition by the Clean Energy Ministerial (CEM)</w:t>
            </w:r>
          </w:p>
          <w:p w14:paraId="722F8C96" w14:textId="77777777" w:rsidR="00770FE4" w:rsidRDefault="00770FE4" w:rsidP="00CE3C2B">
            <w:pPr>
              <w:spacing w:line="276" w:lineRule="auto"/>
              <w:jc w:val="both"/>
            </w:pPr>
          </w:p>
          <w:p w14:paraId="2DB30B08" w14:textId="77777777" w:rsidR="001E7439" w:rsidRDefault="00770FE4" w:rsidP="00CE3C2B">
            <w:pPr>
              <w:pStyle w:val="CommentText"/>
              <w:jc w:val="both"/>
              <w:rPr>
                <w:rFonts w:ascii="Garamond" w:hAnsi="Garamond"/>
                <w:sz w:val="22"/>
                <w:szCs w:val="22"/>
              </w:rPr>
            </w:pPr>
            <w:r w:rsidRPr="00CE3C2B">
              <w:rPr>
                <w:rFonts w:ascii="Garamond" w:hAnsi="Garamond"/>
                <w:sz w:val="22"/>
                <w:szCs w:val="22"/>
              </w:rPr>
              <w:t xml:space="preserve">The Clean Energy Ministerial is a global forum for top energy ministers designed to drive forward policies and programs that advance clean energy technology. CEM includes 25 countries and the European Commission representing roughly 90 percent of global clean energy investments and 75 percent of global greenhouse gas emissions. CEM campaigns are noted efforts designed to raise visibility and target global resources to those campaigns that have a strong potential for transformative impact in the clean technology sector. </w:t>
            </w:r>
          </w:p>
          <w:p w14:paraId="49FDD8B9" w14:textId="77777777" w:rsidR="001E7439" w:rsidRDefault="001E7439" w:rsidP="00CE3C2B">
            <w:pPr>
              <w:pStyle w:val="CommentText"/>
              <w:jc w:val="both"/>
              <w:rPr>
                <w:rFonts w:ascii="Garamond" w:hAnsi="Garamond"/>
                <w:sz w:val="22"/>
                <w:szCs w:val="22"/>
              </w:rPr>
            </w:pPr>
          </w:p>
          <w:p w14:paraId="644C0ED6" w14:textId="230B9FD1" w:rsidR="001E7439" w:rsidRPr="00CE3C2B" w:rsidRDefault="001E7439" w:rsidP="00CE3C2B">
            <w:pPr>
              <w:pStyle w:val="CommentText"/>
              <w:jc w:val="both"/>
              <w:rPr>
                <w:rFonts w:ascii="Garamond" w:hAnsi="Garamond"/>
                <w:sz w:val="22"/>
                <w:szCs w:val="22"/>
              </w:rPr>
            </w:pPr>
            <w:r>
              <w:rPr>
                <w:rFonts w:ascii="Garamond" w:hAnsi="Garamond"/>
                <w:sz w:val="22"/>
                <w:szCs w:val="22"/>
              </w:rPr>
              <w:t xml:space="preserve">Drive to Zero was recognized at the 2020 </w:t>
            </w:r>
            <w:r w:rsidR="00EB0BCF">
              <w:rPr>
                <w:rFonts w:ascii="Garamond" w:hAnsi="Garamond"/>
                <w:sz w:val="22"/>
                <w:szCs w:val="22"/>
              </w:rPr>
              <w:t>CEM event hosted virtually in Riyadh</w:t>
            </w:r>
            <w:r w:rsidR="00172B32">
              <w:rPr>
                <w:rFonts w:ascii="Garamond" w:hAnsi="Garamond"/>
                <w:sz w:val="22"/>
                <w:szCs w:val="22"/>
              </w:rPr>
              <w:t xml:space="preserve">. The program is part of the Electric Vehicles Initiative, </w:t>
            </w:r>
            <w:r w:rsidR="0037200D">
              <w:rPr>
                <w:rFonts w:ascii="Garamond" w:hAnsi="Garamond"/>
                <w:sz w:val="22"/>
                <w:szCs w:val="22"/>
              </w:rPr>
              <w:t xml:space="preserve">CEM’s </w:t>
            </w:r>
            <w:r w:rsidR="00651D2A">
              <w:rPr>
                <w:rFonts w:ascii="Garamond" w:hAnsi="Garamond"/>
                <w:sz w:val="22"/>
                <w:szCs w:val="22"/>
              </w:rPr>
              <w:t>campaign to accelerate the introduction and adoption of electric vehicles.</w:t>
            </w:r>
          </w:p>
        </w:tc>
      </w:tr>
    </w:tbl>
    <w:p w14:paraId="2AB509FD" w14:textId="1A028D7A" w:rsidR="00AD4C97" w:rsidRDefault="00AD4C97">
      <w:pPr>
        <w:pStyle w:val="Heading1"/>
        <w:keepNext w:val="0"/>
        <w:keepLines w:val="0"/>
        <w:spacing w:after="80"/>
      </w:pPr>
      <w:bookmarkStart w:id="9" w:name="_Toc53065359"/>
      <w:r>
        <w:lastRenderedPageBreak/>
        <w:t>Chapter 1. First-Success “Beachhead” Applications</w:t>
      </w:r>
      <w:bookmarkEnd w:id="9"/>
    </w:p>
    <w:p w14:paraId="7E4CE77A" w14:textId="62B26BF3" w:rsidR="00AD4C97" w:rsidRPr="00052F8A" w:rsidRDefault="00AD4C97" w:rsidP="00CE3C2B">
      <w:pPr>
        <w:spacing w:after="80"/>
        <w:jc w:val="both"/>
        <w:rPr>
          <w:rFonts w:ascii="Garamond" w:hAnsi="Garamond"/>
        </w:rPr>
      </w:pPr>
      <w:r w:rsidRPr="00052F8A">
        <w:rPr>
          <w:rFonts w:ascii="Garamond" w:hAnsi="Garamond"/>
        </w:rPr>
        <w:t>Drive to Zero is grounded in establishing</w:t>
      </w:r>
      <w:r>
        <w:rPr>
          <w:rFonts w:ascii="Garamond" w:hAnsi="Garamond"/>
        </w:rPr>
        <w:t xml:space="preserve"> and broadening</w:t>
      </w:r>
      <w:r w:rsidRPr="00052F8A">
        <w:rPr>
          <w:rFonts w:ascii="Garamond" w:hAnsi="Garamond"/>
        </w:rPr>
        <w:t xml:space="preserve"> </w:t>
      </w:r>
      <w:r>
        <w:rPr>
          <w:rFonts w:ascii="Garamond" w:hAnsi="Garamond"/>
        </w:rPr>
        <w:t>first-success</w:t>
      </w:r>
      <w:r w:rsidRPr="00052F8A">
        <w:rPr>
          <w:rFonts w:ascii="Garamond" w:hAnsi="Garamond"/>
        </w:rPr>
        <w:t xml:space="preserve"> “beachhead”</w:t>
      </w:r>
      <w:r w:rsidR="00B236DD">
        <w:rPr>
          <w:rStyle w:val="FootnoteReference"/>
          <w:rFonts w:ascii="Garamond" w:hAnsi="Garamond"/>
        </w:rPr>
        <w:footnoteReference w:id="5"/>
      </w:r>
      <w:r w:rsidRPr="00052F8A">
        <w:rPr>
          <w:rFonts w:ascii="Garamond" w:hAnsi="Garamond"/>
        </w:rPr>
        <w:t xml:space="preserve"> </w:t>
      </w:r>
      <w:r>
        <w:rPr>
          <w:rFonts w:ascii="Garamond" w:hAnsi="Garamond"/>
        </w:rPr>
        <w:t xml:space="preserve">ZECV </w:t>
      </w:r>
      <w:r w:rsidRPr="00052F8A">
        <w:rPr>
          <w:rFonts w:ascii="Garamond" w:hAnsi="Garamond"/>
        </w:rPr>
        <w:t xml:space="preserve">applications </w:t>
      </w:r>
      <w:r>
        <w:rPr>
          <w:rFonts w:ascii="Garamond" w:hAnsi="Garamond"/>
        </w:rPr>
        <w:t>for vehicles that</w:t>
      </w:r>
      <w:r w:rsidRPr="00052F8A">
        <w:rPr>
          <w:rFonts w:ascii="Garamond" w:hAnsi="Garamond"/>
        </w:rPr>
        <w:t xml:space="preserve"> are already available in receptive markets around the world. The initial success of these applications is typically attributable to matching vehicle availability with suitable duty cycles, industrial capacity, and vehicle performance. The combination of these factors leads to better total ownership cost parity between ZECVs and their conventional counterparts, especially when financial incentives are in place. These early applications typically meet urban needs (and therefore modest daily distances) along established routes where vehicles return to base to charge overnight. Initial beachhead applications include transit buses and forklifts, vehicles with operational characteristics that make for an easier transition to zero</w:t>
      </w:r>
      <w:r w:rsidR="3EB5638B" w:rsidRPr="00052F8A">
        <w:rPr>
          <w:rFonts w:ascii="Garamond" w:hAnsi="Garamond"/>
        </w:rPr>
        <w:t>-</w:t>
      </w:r>
      <w:r w:rsidRPr="00052F8A">
        <w:rPr>
          <w:rFonts w:ascii="Garamond" w:hAnsi="Garamond"/>
        </w:rPr>
        <w:t xml:space="preserve">emissions. </w:t>
      </w:r>
      <w:r w:rsidR="00271A44">
        <w:rPr>
          <w:rFonts w:ascii="Garamond" w:hAnsi="Garamond"/>
        </w:rPr>
        <w:t xml:space="preserve">Through </w:t>
      </w:r>
      <w:r w:rsidR="00D063A8">
        <w:rPr>
          <w:rFonts w:ascii="Garamond" w:hAnsi="Garamond"/>
        </w:rPr>
        <w:t xml:space="preserve">subsequent </w:t>
      </w:r>
      <w:r w:rsidR="00524FD8">
        <w:rPr>
          <w:rFonts w:ascii="Garamond" w:hAnsi="Garamond"/>
        </w:rPr>
        <w:t>“</w:t>
      </w:r>
      <w:r w:rsidR="00D063A8">
        <w:rPr>
          <w:rFonts w:ascii="Garamond" w:hAnsi="Garamond"/>
        </w:rPr>
        <w:t>waves</w:t>
      </w:r>
      <w:r w:rsidR="00524FD8">
        <w:rPr>
          <w:rFonts w:ascii="Garamond" w:hAnsi="Garamond"/>
        </w:rPr>
        <w:t>”</w:t>
      </w:r>
      <w:r w:rsidR="00D063A8">
        <w:rPr>
          <w:rFonts w:ascii="Garamond" w:hAnsi="Garamond"/>
        </w:rPr>
        <w:t xml:space="preserve"> of </w:t>
      </w:r>
      <w:r w:rsidR="0027676E">
        <w:rPr>
          <w:rFonts w:ascii="Garamond" w:hAnsi="Garamond"/>
        </w:rPr>
        <w:t xml:space="preserve">technology transfer and </w:t>
      </w:r>
      <w:r w:rsidR="00D063A8">
        <w:rPr>
          <w:rFonts w:ascii="Garamond" w:hAnsi="Garamond"/>
        </w:rPr>
        <w:t>vehicle</w:t>
      </w:r>
      <w:r w:rsidR="0027676E">
        <w:rPr>
          <w:rFonts w:ascii="Garamond" w:hAnsi="Garamond"/>
        </w:rPr>
        <w:t xml:space="preserve"> deployment</w:t>
      </w:r>
      <w:r w:rsidR="00524FD8">
        <w:rPr>
          <w:rFonts w:ascii="Garamond" w:hAnsi="Garamond"/>
        </w:rPr>
        <w:t>, f</w:t>
      </w:r>
      <w:r w:rsidRPr="00052F8A">
        <w:rPr>
          <w:rFonts w:ascii="Garamond" w:hAnsi="Garamond"/>
        </w:rPr>
        <w:t>ollow-on beachhead applications include return-to-base operations such as urban delivery vans, drayage trucks, yard tractors, garbage trucks, and medium- and heavy-duty regional trucks, eventually including long-haul freight trucks that are not limited to return-to-base operations.</w:t>
      </w:r>
    </w:p>
    <w:p w14:paraId="5D1CF987" w14:textId="77777777" w:rsidR="00F57368" w:rsidRDefault="00AD4C97" w:rsidP="00CE3C2B">
      <w:pPr>
        <w:spacing w:after="80"/>
        <w:jc w:val="both"/>
        <w:rPr>
          <w:rFonts w:ascii="Garamond" w:hAnsi="Garamond"/>
        </w:rPr>
      </w:pPr>
      <w:r w:rsidRPr="00052F8A">
        <w:rPr>
          <w:rFonts w:ascii="Garamond" w:hAnsi="Garamond"/>
        </w:rPr>
        <w:t xml:space="preserve">Targeting areas of first success and enabling industry to use these beachheads as staging grounds to deploy and improve their vehicles, supply chains, and business practices will quickly create traction for further ZECV deployments. By focusing technological and business model innovation within beachhead applications, vehicle manufacturers will be able to leverage similar powertrains and components while fleets could benefit from expanded fueling/charging infrastructure. As supply chain volumes for common components grow and drive down costs, the confidence in vehicle performance and business case also grows. </w:t>
      </w:r>
    </w:p>
    <w:p w14:paraId="675938D7" w14:textId="4FB2FEBC" w:rsidR="00AD4C97" w:rsidRPr="00052F8A" w:rsidRDefault="00FD0DD6" w:rsidP="00CE3C2B">
      <w:pPr>
        <w:spacing w:after="80"/>
        <w:jc w:val="both"/>
        <w:rPr>
          <w:rFonts w:ascii="Garamond" w:hAnsi="Garamond"/>
        </w:rPr>
      </w:pPr>
      <w:r>
        <w:rPr>
          <w:rFonts w:ascii="Garamond" w:hAnsi="Garamond"/>
        </w:rPr>
        <w:t xml:space="preserve">In addition to </w:t>
      </w:r>
      <w:r w:rsidR="00E36B28">
        <w:rPr>
          <w:rFonts w:ascii="Garamond" w:hAnsi="Garamond"/>
        </w:rPr>
        <w:t xml:space="preserve">targeting ZECV deployment in beachhead applications, </w:t>
      </w:r>
      <w:r w:rsidR="00320644">
        <w:rPr>
          <w:rFonts w:ascii="Garamond" w:hAnsi="Garamond"/>
        </w:rPr>
        <w:t>key</w:t>
      </w:r>
      <w:r w:rsidR="00C42C08">
        <w:rPr>
          <w:rFonts w:ascii="Garamond" w:hAnsi="Garamond"/>
        </w:rPr>
        <w:t xml:space="preserve"> regional markets are also more primed for accelerated deployment.</w:t>
      </w:r>
      <w:r w:rsidR="00E36B28">
        <w:rPr>
          <w:rFonts w:ascii="Garamond" w:hAnsi="Garamond"/>
        </w:rPr>
        <w:t xml:space="preserve"> </w:t>
      </w:r>
      <w:r w:rsidR="00AD4C97" w:rsidRPr="00052F8A">
        <w:rPr>
          <w:rFonts w:ascii="Garamond" w:hAnsi="Garamond"/>
        </w:rPr>
        <w:t xml:space="preserve">The costs and the </w:t>
      </w:r>
      <w:r w:rsidR="00AD4C97">
        <w:rPr>
          <w:rFonts w:ascii="Garamond" w:hAnsi="Garamond"/>
        </w:rPr>
        <w:t>challenges</w:t>
      </w:r>
      <w:r w:rsidR="00AD4C97" w:rsidRPr="00052F8A">
        <w:rPr>
          <w:rFonts w:ascii="Garamond" w:hAnsi="Garamond"/>
        </w:rPr>
        <w:t xml:space="preserve"> of simultaneously manufacturing, deploying, and servicing zero-emission trucks and buses at large scales around the world are prohibitive. By focusing on first-mover regions and filling in regional gaps as global demand increases, the beachhead model creates opportunity for manufacturers to streamline and innovate their products in a receptive commercial market while expanding their capacity to reach new markets.</w:t>
      </w:r>
    </w:p>
    <w:p w14:paraId="0B26F61A" w14:textId="70BBE89B" w:rsidR="00AD4C97" w:rsidRDefault="00AD4C97" w:rsidP="00CE3C2B">
      <w:pPr>
        <w:spacing w:after="80"/>
        <w:jc w:val="both"/>
      </w:pPr>
    </w:p>
    <w:tbl>
      <w:tblPr>
        <w:tblStyle w:val="TableGrid"/>
        <w:tblW w:w="0" w:type="auto"/>
        <w:shd w:val="clear" w:color="auto" w:fill="DAEEF3" w:themeFill="accent5" w:themeFillTint="33"/>
        <w:tblLook w:val="04A0" w:firstRow="1" w:lastRow="0" w:firstColumn="1" w:lastColumn="0" w:noHBand="0" w:noVBand="1"/>
      </w:tblPr>
      <w:tblGrid>
        <w:gridCol w:w="9350"/>
      </w:tblGrid>
      <w:tr w:rsidR="00AD4C97" w:rsidRPr="00052F8A" w14:paraId="74DBBAD3" w14:textId="77777777" w:rsidTr="10AE95DA">
        <w:tc>
          <w:tcPr>
            <w:tcW w:w="9350" w:type="dxa"/>
            <w:shd w:val="clear" w:color="auto" w:fill="DAEEF3" w:themeFill="accent5" w:themeFillTint="33"/>
          </w:tcPr>
          <w:p w14:paraId="632214A5" w14:textId="5D226690" w:rsidR="00AD4C97" w:rsidRPr="00CE3C2B" w:rsidRDefault="00AD4C97" w:rsidP="00CE3C2B">
            <w:pPr>
              <w:spacing w:after="80"/>
              <w:jc w:val="both"/>
              <w:rPr>
                <w:rFonts w:asciiTheme="majorHAnsi" w:hAnsiTheme="majorHAnsi" w:cstheme="majorHAnsi"/>
                <w:b/>
                <w:bCs/>
                <w:u w:val="single"/>
              </w:rPr>
            </w:pPr>
            <w:r w:rsidRPr="00CE3C2B">
              <w:rPr>
                <w:rFonts w:asciiTheme="majorHAnsi" w:hAnsiTheme="majorHAnsi" w:cstheme="majorHAnsi"/>
                <w:b/>
                <w:bCs/>
                <w:u w:val="single"/>
              </w:rPr>
              <w:t>Near-Zero Emission Vehicle Definition and Distinction</w:t>
            </w:r>
          </w:p>
          <w:p w14:paraId="0EA9AA8C" w14:textId="0AAB798B" w:rsidR="00AD4C97" w:rsidRPr="00052F8A" w:rsidRDefault="00AD4C97" w:rsidP="00CE3C2B">
            <w:pPr>
              <w:spacing w:after="80"/>
              <w:jc w:val="both"/>
              <w:rPr>
                <w:rFonts w:ascii="Garamond" w:hAnsi="Garamond"/>
              </w:rPr>
            </w:pPr>
            <w:bookmarkStart w:id="10" w:name="_Hlk38441716"/>
            <w:r w:rsidRPr="00052F8A">
              <w:rPr>
                <w:rFonts w:ascii="Garamond" w:hAnsi="Garamond"/>
              </w:rPr>
              <w:t>The definition of near</w:t>
            </w:r>
            <w:r>
              <w:rPr>
                <w:rFonts w:ascii="Garamond" w:hAnsi="Garamond"/>
              </w:rPr>
              <w:t>-</w:t>
            </w:r>
            <w:r w:rsidRPr="00052F8A">
              <w:rPr>
                <w:rFonts w:ascii="Garamond" w:hAnsi="Garamond"/>
              </w:rPr>
              <w:t>zero</w:t>
            </w:r>
            <w:r>
              <w:rPr>
                <w:rFonts w:ascii="Garamond" w:hAnsi="Garamond"/>
              </w:rPr>
              <w:t xml:space="preserve"> </w:t>
            </w:r>
            <w:r w:rsidRPr="00052F8A">
              <w:rPr>
                <w:rFonts w:ascii="Garamond" w:hAnsi="Garamond"/>
              </w:rPr>
              <w:t>emission vehicles</w:t>
            </w:r>
            <w:r w:rsidR="00153FF4">
              <w:rPr>
                <w:rFonts w:ascii="Garamond" w:hAnsi="Garamond"/>
              </w:rPr>
              <w:t xml:space="preserve"> (NZEVs)</w:t>
            </w:r>
            <w:r w:rsidRPr="00052F8A">
              <w:rPr>
                <w:rFonts w:ascii="Garamond" w:hAnsi="Garamond"/>
              </w:rPr>
              <w:t xml:space="preserve"> can be construed to apply to many technologies, from vehicles that operate with much greater efficiency due to hybrid capabilities to </w:t>
            </w:r>
            <w:proofErr w:type="gramStart"/>
            <w:r w:rsidRPr="00052F8A">
              <w:rPr>
                <w:rFonts w:ascii="Garamond" w:hAnsi="Garamond"/>
              </w:rPr>
              <w:t>conventionally-powered</w:t>
            </w:r>
            <w:proofErr w:type="gramEnd"/>
            <w:r w:rsidRPr="00052F8A">
              <w:rPr>
                <w:rFonts w:ascii="Garamond" w:hAnsi="Garamond"/>
              </w:rPr>
              <w:t xml:space="preserve"> vehicles fueled by renewable liquid fuels. For the purposes of the beachhead model, near</w:t>
            </w:r>
            <w:r>
              <w:rPr>
                <w:rFonts w:ascii="Garamond" w:hAnsi="Garamond"/>
              </w:rPr>
              <w:t>-</w:t>
            </w:r>
            <w:r w:rsidRPr="00052F8A">
              <w:rPr>
                <w:rFonts w:ascii="Garamond" w:hAnsi="Garamond"/>
              </w:rPr>
              <w:t>zero</w:t>
            </w:r>
            <w:r>
              <w:rPr>
                <w:rFonts w:ascii="Garamond" w:hAnsi="Garamond"/>
              </w:rPr>
              <w:t xml:space="preserve"> </w:t>
            </w:r>
            <w:r w:rsidRPr="00052F8A">
              <w:rPr>
                <w:rFonts w:ascii="Garamond" w:hAnsi="Garamond"/>
              </w:rPr>
              <w:t>emission vehicles are defined as having the capability for zero-emission operations at least in part of their duty cycles. This definition would include electric power takeoff systems and plug-in hybrid technologies. In addition, the beachhead model also considers the use of renewable natural gas or renewable liquid fuels on more aggressive duty cycles while zero</w:t>
            </w:r>
            <w:r>
              <w:rPr>
                <w:rFonts w:ascii="Garamond" w:hAnsi="Garamond"/>
              </w:rPr>
              <w:t xml:space="preserve"> </w:t>
            </w:r>
            <w:r w:rsidRPr="00052F8A">
              <w:rPr>
                <w:rFonts w:ascii="Garamond" w:hAnsi="Garamond"/>
              </w:rPr>
              <w:t xml:space="preserve">emission technologies are not yet ready for implementation.  </w:t>
            </w:r>
          </w:p>
          <w:p w14:paraId="4DD1C5E1" w14:textId="009657FA" w:rsidR="00AD4C97" w:rsidRPr="00052F8A" w:rsidRDefault="00AD4C97" w:rsidP="00CE3C2B">
            <w:pPr>
              <w:spacing w:after="80"/>
              <w:jc w:val="both"/>
              <w:rPr>
                <w:rFonts w:ascii="Garamond" w:hAnsi="Garamond"/>
              </w:rPr>
            </w:pPr>
            <w:r w:rsidRPr="00052F8A">
              <w:rPr>
                <w:rFonts w:ascii="Garamond" w:hAnsi="Garamond"/>
              </w:rPr>
              <w:t>Near</w:t>
            </w:r>
            <w:r>
              <w:rPr>
                <w:rFonts w:ascii="Garamond" w:hAnsi="Garamond"/>
              </w:rPr>
              <w:t>-</w:t>
            </w:r>
            <w:r w:rsidRPr="00052F8A">
              <w:rPr>
                <w:rFonts w:ascii="Garamond" w:hAnsi="Garamond"/>
              </w:rPr>
              <w:t>zero</w:t>
            </w:r>
            <w:r>
              <w:rPr>
                <w:rFonts w:ascii="Garamond" w:hAnsi="Garamond"/>
              </w:rPr>
              <w:t xml:space="preserve"> </w:t>
            </w:r>
            <w:r w:rsidRPr="00052F8A">
              <w:rPr>
                <w:rFonts w:ascii="Garamond" w:hAnsi="Garamond"/>
              </w:rPr>
              <w:t xml:space="preserve">emission vehicle technology can be an important component of achieving improvements in air quality and greenhouse gas portfolios. The flexibility provided by these technologies will allow </w:t>
            </w:r>
            <w:r w:rsidRPr="00052F8A">
              <w:rPr>
                <w:rFonts w:ascii="Garamond" w:hAnsi="Garamond"/>
              </w:rPr>
              <w:lastRenderedPageBreak/>
              <w:t>a greater number of fleets to operate efficiently, particularly in areas that require zero-emission operations, while meeting challenging routes and duty cycles. Several innovative and impactful pilot projects around the world use near zero-emission vehicles to advance their sustainability efforts and test new clean vehicle technologies.</w:t>
            </w:r>
          </w:p>
          <w:bookmarkEnd w:id="10"/>
          <w:p w14:paraId="7263AC73" w14:textId="343B331D" w:rsidR="00AD4C97" w:rsidRPr="00052F8A" w:rsidRDefault="00AD4C97" w:rsidP="00CE3C2B">
            <w:pPr>
              <w:spacing w:after="80"/>
              <w:jc w:val="both"/>
              <w:rPr>
                <w:rFonts w:ascii="Garamond" w:hAnsi="Garamond"/>
              </w:rPr>
            </w:pPr>
            <w:r w:rsidRPr="00052F8A">
              <w:rPr>
                <w:rFonts w:ascii="Garamond" w:hAnsi="Garamond"/>
              </w:rPr>
              <w:t>Though near-zero emission technologies will be relied upon to some degree in the near and medium term, and investing in near zero-emission vehicles will support the development of zero-emission pathways, near-zero technologies need to be ultimately replaced by zero-emission technologies even on the most aggressive duty cycles to achieve the air quality and greenhouse gas emissions reductions needed to establish a safer, more prosperous future. Therefore, this briefing focuses on zero-emission pathways only.</w:t>
            </w:r>
          </w:p>
        </w:tc>
      </w:tr>
    </w:tbl>
    <w:p w14:paraId="73D7861B" w14:textId="77777777" w:rsidR="00AD4C97" w:rsidRPr="00052F8A" w:rsidRDefault="00AD4C97">
      <w:pPr>
        <w:spacing w:after="80"/>
        <w:rPr>
          <w:rFonts w:ascii="Garamond" w:hAnsi="Garamond"/>
        </w:rPr>
      </w:pPr>
    </w:p>
    <w:p w14:paraId="77C697AF" w14:textId="2CAABC92" w:rsidR="00265BF1" w:rsidRDefault="00265BF1" w:rsidP="00CE3C2B">
      <w:pPr>
        <w:pStyle w:val="Heading2"/>
      </w:pPr>
      <w:bookmarkStart w:id="11" w:name="_Toc53065360"/>
      <w:r>
        <w:t xml:space="preserve">Successive </w:t>
      </w:r>
      <w:r w:rsidR="008F6393">
        <w:t xml:space="preserve">Vehicle and Technology </w:t>
      </w:r>
      <w:r>
        <w:t>Applications</w:t>
      </w:r>
      <w:bookmarkEnd w:id="11"/>
    </w:p>
    <w:p w14:paraId="0ED1EAA9" w14:textId="7FD0B9E7" w:rsidR="00F31EAC" w:rsidRPr="00052F8A" w:rsidRDefault="00AD4C97" w:rsidP="00CE3C2B">
      <w:pPr>
        <w:spacing w:before="240" w:after="240"/>
        <w:jc w:val="both"/>
        <w:rPr>
          <w:rFonts w:ascii="Garamond" w:hAnsi="Garamond"/>
        </w:rPr>
      </w:pPr>
      <w:r w:rsidRPr="00052F8A">
        <w:rPr>
          <w:rFonts w:ascii="Garamond" w:hAnsi="Garamond"/>
        </w:rPr>
        <w:t xml:space="preserve">The flow of innovation </w:t>
      </w:r>
      <w:r w:rsidR="00F734BA">
        <w:rPr>
          <w:rFonts w:ascii="Garamond" w:hAnsi="Garamond"/>
        </w:rPr>
        <w:t xml:space="preserve">follows </w:t>
      </w:r>
      <w:r w:rsidRPr="00052F8A">
        <w:rPr>
          <w:rFonts w:ascii="Garamond" w:hAnsi="Garamond"/>
        </w:rPr>
        <w:t xml:space="preserve">the transition from first-success beachhead applications, expanding to larger-volume, longer-distance, and more demanding applications that can make use of core </w:t>
      </w:r>
      <w:r>
        <w:rPr>
          <w:rFonts w:ascii="Garamond" w:hAnsi="Garamond"/>
        </w:rPr>
        <w:t xml:space="preserve">ZECV </w:t>
      </w:r>
      <w:r w:rsidRPr="00052F8A">
        <w:rPr>
          <w:rFonts w:ascii="Garamond" w:hAnsi="Garamond"/>
        </w:rPr>
        <w:t>powertrain components and supply chain</w:t>
      </w:r>
      <w:r>
        <w:rPr>
          <w:rFonts w:ascii="Garamond" w:hAnsi="Garamond"/>
        </w:rPr>
        <w:t>s</w:t>
      </w:r>
      <w:r w:rsidRPr="00052F8A">
        <w:rPr>
          <w:rFonts w:ascii="Garamond" w:hAnsi="Garamond"/>
        </w:rPr>
        <w:t xml:space="preserve"> </w:t>
      </w:r>
      <w:r w:rsidR="00F734BA">
        <w:rPr>
          <w:rFonts w:ascii="Garamond" w:hAnsi="Garamond"/>
        </w:rPr>
        <w:t>(Figure 2)</w:t>
      </w:r>
      <w:r w:rsidRPr="00052F8A">
        <w:rPr>
          <w:rFonts w:ascii="Garamond" w:hAnsi="Garamond"/>
        </w:rPr>
        <w:t xml:space="preserve">. </w:t>
      </w:r>
      <w:r w:rsidR="00626319">
        <w:rPr>
          <w:rFonts w:ascii="Garamond" w:hAnsi="Garamond"/>
        </w:rPr>
        <w:t>T</w:t>
      </w:r>
      <w:r w:rsidR="00F31EAC" w:rsidRPr="00052F8A">
        <w:rPr>
          <w:rFonts w:ascii="Garamond" w:hAnsi="Garamond"/>
        </w:rPr>
        <w:t xml:space="preserve">he beachhead model establishes zero-emission transit buses as the earliest on-road technological foothold. While relatively small in initial production volumes, they form the basis for a successful first market where core component technologies and architecture are shaped. Fuel cell electric buses utilize the same electric powertrain as a battery electric bus, itself built on the hybrid transit bus architecture, which over time expanded the use of core electric drive components. The development of these components has had wider applicability than initially expected and has led to several other applications in different stages of development including battery-electric shuttle and school buses, battery-electric delivery vans, and fuel cell electric buses. As component volumes increase and technology improves, secondary markets will develop including battery-electric medium- and heavy-duty (MHD) delivery trucks (sometimes operating with plug-in range extender systems) and battery-electric yard trucks. Eventually these innovations will lay the foundation to yet more applications with higher distance and payload requirements, including electric and hydrogen fuel cell drayage trucks and regional heavy-duty trucks (sometimes also operating with plug-in or hydrogen fuel cell range extenders). </w:t>
      </w:r>
    </w:p>
    <w:p w14:paraId="04FA6798" w14:textId="262416E2" w:rsidR="00AD4C97" w:rsidRPr="00052F8A" w:rsidRDefault="00AD4C97" w:rsidP="00413639">
      <w:pPr>
        <w:spacing w:after="80"/>
        <w:rPr>
          <w:rFonts w:ascii="Garamond" w:hAnsi="Garamond"/>
        </w:rPr>
      </w:pPr>
    </w:p>
    <w:p w14:paraId="5876CA3C" w14:textId="3868A846" w:rsidR="00AD4C97" w:rsidRDefault="00AD4C97">
      <w:pPr>
        <w:spacing w:before="240" w:after="240"/>
      </w:pPr>
    </w:p>
    <w:p w14:paraId="58F29C4A" w14:textId="77777777" w:rsidR="004D7F9E" w:rsidRDefault="004D7F9E">
      <w:pPr>
        <w:spacing w:line="276" w:lineRule="auto"/>
        <w:rPr>
          <w:b/>
          <w:bCs/>
        </w:rPr>
      </w:pPr>
      <w:r>
        <w:rPr>
          <w:b/>
          <w:bCs/>
        </w:rPr>
        <w:br w:type="page"/>
      </w:r>
    </w:p>
    <w:p w14:paraId="5B818439" w14:textId="72C4D502" w:rsidR="00AD4C97" w:rsidRPr="00CE3C2B" w:rsidRDefault="00AD4C97" w:rsidP="00CE3C2B">
      <w:pPr>
        <w:pStyle w:val="Figures"/>
        <w:rPr>
          <w:rStyle w:val="Strong"/>
          <w:b/>
          <w:bCs w:val="0"/>
        </w:rPr>
      </w:pPr>
      <w:bookmarkStart w:id="12" w:name="_Toc53065377"/>
      <w:r w:rsidRPr="00CE3C2B">
        <w:rPr>
          <w:rStyle w:val="Strong"/>
          <w:b/>
          <w:bCs w:val="0"/>
        </w:rPr>
        <w:lastRenderedPageBreak/>
        <w:t>Figure 2: “Beachhead Pathways” for Zero-Emission Vehicle Commercialization</w:t>
      </w:r>
      <w:bookmarkEnd w:id="12"/>
    </w:p>
    <w:p w14:paraId="54B4DFD5" w14:textId="345A746D" w:rsidR="00AD4C97" w:rsidRDefault="00F765D9">
      <w:pPr>
        <w:spacing w:before="240" w:after="240"/>
      </w:pPr>
      <w:r w:rsidRPr="00F765D9">
        <w:drawing>
          <wp:inline distT="0" distB="0" distL="0" distR="0" wp14:anchorId="67A0B752" wp14:editId="11AC91A5">
            <wp:extent cx="6747933" cy="3439571"/>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49836" cy="3440541"/>
                    </a:xfrm>
                    <a:prstGeom prst="rect">
                      <a:avLst/>
                    </a:prstGeom>
                    <a:noFill/>
                    <a:ln>
                      <a:noFill/>
                    </a:ln>
                  </pic:spPr>
                </pic:pic>
              </a:graphicData>
            </a:graphic>
          </wp:inline>
        </w:drawing>
      </w:r>
    </w:p>
    <w:p w14:paraId="6BD82B00" w14:textId="76C5D818" w:rsidR="00AD4C97" w:rsidRDefault="00AD4C97" w:rsidP="00CE3C2B">
      <w:pPr>
        <w:spacing w:before="240" w:after="240"/>
        <w:jc w:val="both"/>
        <w:rPr>
          <w:rFonts w:ascii="Garamond" w:hAnsi="Garamond"/>
        </w:rPr>
      </w:pPr>
      <w:r w:rsidRPr="00052F8A">
        <w:rPr>
          <w:rFonts w:ascii="Garamond" w:hAnsi="Garamond"/>
        </w:rPr>
        <w:t xml:space="preserve">Another pathway illustrated in Figure </w:t>
      </w:r>
      <w:r w:rsidR="00631042">
        <w:rPr>
          <w:rFonts w:ascii="Garamond" w:hAnsi="Garamond"/>
        </w:rPr>
        <w:t>2</w:t>
      </w:r>
      <w:r w:rsidRPr="00052F8A">
        <w:rPr>
          <w:rFonts w:ascii="Garamond" w:hAnsi="Garamond"/>
        </w:rPr>
        <w:t xml:space="preserve"> shows off-road applications beginning with electric and hydrogen fuel cell forklifts, which operate in controlled systems of limited access where operators can install and improve the functionality of advanced vehicle and charging systems. These closed systems may include ports, </w:t>
      </w:r>
      <w:proofErr w:type="gramStart"/>
      <w:r w:rsidRPr="00052F8A">
        <w:rPr>
          <w:rFonts w:ascii="Garamond" w:hAnsi="Garamond"/>
        </w:rPr>
        <w:t>warehouses</w:t>
      </w:r>
      <w:proofErr w:type="gramEnd"/>
      <w:r w:rsidRPr="00052F8A">
        <w:rPr>
          <w:rFonts w:ascii="Garamond" w:hAnsi="Garamond"/>
        </w:rPr>
        <w:t xml:space="preserve"> and other freight facilities. This pathway lays the foundation for zero-emission technologies of multiple types of cargo handling equipment, especially those operating higher payloads. </w:t>
      </w:r>
    </w:p>
    <w:p w14:paraId="167D6265" w14:textId="6A96D3C4" w:rsidR="00AD4C97" w:rsidRPr="00052F8A" w:rsidRDefault="00AD4C97" w:rsidP="00CE3C2B">
      <w:pPr>
        <w:spacing w:before="240" w:after="240"/>
        <w:jc w:val="both"/>
        <w:rPr>
          <w:rFonts w:ascii="Garamond" w:hAnsi="Garamond"/>
        </w:rPr>
      </w:pPr>
      <w:r w:rsidRPr="00BE237F">
        <w:rPr>
          <w:rFonts w:ascii="Garamond" w:hAnsi="Garamond"/>
        </w:rPr>
        <w:t>Heavy-duty applications with longer ranges and rigorous duty cycles will require larger and more powerful fueling supplies. Shared large-scale charging facilities for on-road and off-road applications will allow fleet operators to cost-effectively charge vehicles on-site. High-power charging and hydrogen fueling stations located along travel and freight corridors will enable long-haul freight and buses to expand the ZECV market.</w:t>
      </w:r>
    </w:p>
    <w:p w14:paraId="5EF68773" w14:textId="4C319030" w:rsidR="00AD4C97" w:rsidRPr="00052F8A" w:rsidRDefault="00AD4C97" w:rsidP="00CE3C2B">
      <w:pPr>
        <w:spacing w:after="80"/>
        <w:jc w:val="both"/>
        <w:rPr>
          <w:rFonts w:ascii="Garamond" w:hAnsi="Garamond"/>
        </w:rPr>
      </w:pPr>
      <w:r w:rsidRPr="00052F8A">
        <w:rPr>
          <w:rFonts w:ascii="Garamond" w:hAnsi="Garamond"/>
        </w:rPr>
        <w:t xml:space="preserve">A summary of </w:t>
      </w:r>
      <w:r>
        <w:rPr>
          <w:rFonts w:ascii="Garamond" w:hAnsi="Garamond"/>
        </w:rPr>
        <w:t>ZECV</w:t>
      </w:r>
      <w:r w:rsidRPr="00052F8A">
        <w:rPr>
          <w:rFonts w:ascii="Garamond" w:hAnsi="Garamond"/>
        </w:rPr>
        <w:t xml:space="preserve"> beachhead applications is provided in Table</w:t>
      </w:r>
      <w:r w:rsidR="00932C33">
        <w:rPr>
          <w:rFonts w:ascii="Garamond" w:hAnsi="Garamond"/>
        </w:rPr>
        <w:t xml:space="preserve"> </w:t>
      </w:r>
      <w:r w:rsidRPr="00052F8A">
        <w:rPr>
          <w:rFonts w:ascii="Garamond" w:hAnsi="Garamond"/>
        </w:rPr>
        <w:t xml:space="preserve">1 </w:t>
      </w:r>
      <w:r w:rsidR="00932C33">
        <w:rPr>
          <w:rFonts w:ascii="Garamond" w:hAnsi="Garamond"/>
        </w:rPr>
        <w:t xml:space="preserve">for on-road vehicles </w:t>
      </w:r>
      <w:r w:rsidRPr="00052F8A">
        <w:rPr>
          <w:rFonts w:ascii="Garamond" w:hAnsi="Garamond"/>
        </w:rPr>
        <w:t xml:space="preserve">and </w:t>
      </w:r>
      <w:r w:rsidR="00932C33">
        <w:rPr>
          <w:rFonts w:ascii="Garamond" w:hAnsi="Garamond"/>
        </w:rPr>
        <w:t xml:space="preserve">Table </w:t>
      </w:r>
      <w:r w:rsidRPr="00052F8A">
        <w:rPr>
          <w:rFonts w:ascii="Garamond" w:hAnsi="Garamond"/>
        </w:rPr>
        <w:t>2</w:t>
      </w:r>
      <w:r w:rsidR="00932C33">
        <w:rPr>
          <w:rFonts w:ascii="Garamond" w:hAnsi="Garamond"/>
        </w:rPr>
        <w:t xml:space="preserve"> for off-road vehicles.</w:t>
      </w:r>
    </w:p>
    <w:p w14:paraId="32B728B6" w14:textId="77777777" w:rsidR="00AD4C97" w:rsidRDefault="00AD4C97">
      <w:pPr>
        <w:spacing w:after="80"/>
      </w:pPr>
    </w:p>
    <w:p w14:paraId="1C311DB6" w14:textId="77777777" w:rsidR="009869E7" w:rsidRDefault="009869E7">
      <w:pPr>
        <w:spacing w:line="276" w:lineRule="auto"/>
        <w:rPr>
          <w:rStyle w:val="Emphasis"/>
          <w:b/>
          <w:bCs/>
          <w:i w:val="0"/>
          <w:iCs w:val="0"/>
        </w:rPr>
      </w:pPr>
      <w:r>
        <w:rPr>
          <w:rStyle w:val="Emphasis"/>
          <w:bCs/>
          <w:i w:val="0"/>
          <w:iCs w:val="0"/>
        </w:rPr>
        <w:br w:type="page"/>
      </w:r>
    </w:p>
    <w:p w14:paraId="37A1911B" w14:textId="440F5B5F" w:rsidR="00AD4C97" w:rsidRDefault="00AD4C97" w:rsidP="00CE3C2B">
      <w:pPr>
        <w:pStyle w:val="Tables"/>
        <w:rPr>
          <w:rStyle w:val="Emphasis"/>
          <w:bCs/>
          <w:i w:val="0"/>
          <w:iCs w:val="0"/>
        </w:rPr>
      </w:pPr>
      <w:bookmarkStart w:id="13" w:name="_Toc53065381"/>
      <w:r w:rsidRPr="009603B7">
        <w:rPr>
          <w:rStyle w:val="Emphasis"/>
          <w:bCs/>
          <w:i w:val="0"/>
          <w:iCs w:val="0"/>
        </w:rPr>
        <w:lastRenderedPageBreak/>
        <w:t>Table 1</w:t>
      </w:r>
      <w:r w:rsidR="00B10929" w:rsidRPr="009603B7">
        <w:rPr>
          <w:rStyle w:val="Emphasis"/>
          <w:bCs/>
          <w:i w:val="0"/>
          <w:iCs w:val="0"/>
        </w:rPr>
        <w:t>:</w:t>
      </w:r>
      <w:r w:rsidRPr="009603B7">
        <w:rPr>
          <w:rStyle w:val="Emphasis"/>
          <w:bCs/>
          <w:i w:val="0"/>
          <w:iCs w:val="0"/>
        </w:rPr>
        <w:t xml:space="preserve"> On-Road ZECV Applications and Market Timing</w:t>
      </w:r>
      <w:bookmarkEnd w:id="13"/>
    </w:p>
    <w:p w14:paraId="711621B0" w14:textId="77777777" w:rsidR="009869E7" w:rsidRPr="009603B7" w:rsidRDefault="009869E7" w:rsidP="00CE3C2B">
      <w:pPr>
        <w:pStyle w:val="Tables"/>
        <w:rPr>
          <w:rStyle w:val="Emphasis"/>
          <w:bCs/>
          <w:i w:val="0"/>
          <w:iCs w:val="0"/>
        </w:rPr>
      </w:pPr>
    </w:p>
    <w:tbl>
      <w:tblPr>
        <w:tblW w:w="9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6"/>
        <w:gridCol w:w="1749"/>
        <w:gridCol w:w="875"/>
        <w:gridCol w:w="1170"/>
        <w:gridCol w:w="1620"/>
        <w:gridCol w:w="1284"/>
        <w:gridCol w:w="1284"/>
      </w:tblGrid>
      <w:tr w:rsidR="00AD4C97" w:rsidRPr="00075CE6" w14:paraId="77B5CC51" w14:textId="77777777" w:rsidTr="00BE237F">
        <w:trPr>
          <w:tblHeader/>
        </w:trPr>
        <w:tc>
          <w:tcPr>
            <w:tcW w:w="1326" w:type="dxa"/>
            <w:shd w:val="clear" w:color="auto" w:fill="auto"/>
            <w:tcMar>
              <w:top w:w="100" w:type="dxa"/>
              <w:left w:w="100" w:type="dxa"/>
              <w:bottom w:w="100" w:type="dxa"/>
              <w:right w:w="100" w:type="dxa"/>
            </w:tcMar>
          </w:tcPr>
          <w:p w14:paraId="256F2376" w14:textId="77777777" w:rsidR="00AD4C97" w:rsidRPr="00052F8A" w:rsidRDefault="00AD4C97" w:rsidP="00BC6A5E">
            <w:pPr>
              <w:widowControl w:val="0"/>
              <w:rPr>
                <w:rFonts w:ascii="Garamond" w:hAnsi="Garamond" w:cstheme="minorHAnsi"/>
                <w:b/>
                <w:bCs/>
                <w:sz w:val="20"/>
                <w:szCs w:val="20"/>
              </w:rPr>
            </w:pPr>
            <w:r w:rsidRPr="00052F8A">
              <w:rPr>
                <w:rFonts w:ascii="Garamond" w:hAnsi="Garamond" w:cstheme="minorHAnsi"/>
                <w:b/>
                <w:bCs/>
                <w:sz w:val="20"/>
                <w:szCs w:val="20"/>
              </w:rPr>
              <w:t>Application</w:t>
            </w:r>
          </w:p>
        </w:tc>
        <w:tc>
          <w:tcPr>
            <w:tcW w:w="1749" w:type="dxa"/>
            <w:shd w:val="clear" w:color="auto" w:fill="auto"/>
            <w:tcMar>
              <w:top w:w="100" w:type="dxa"/>
              <w:left w:w="100" w:type="dxa"/>
              <w:bottom w:w="100" w:type="dxa"/>
              <w:right w:w="100" w:type="dxa"/>
            </w:tcMar>
          </w:tcPr>
          <w:p w14:paraId="33B02927" w14:textId="1F2E5C23" w:rsidR="00AD4C97" w:rsidRPr="00052F8A" w:rsidRDefault="00AD4C97" w:rsidP="00BC6A5E">
            <w:pPr>
              <w:widowControl w:val="0"/>
              <w:rPr>
                <w:rFonts w:ascii="Garamond" w:hAnsi="Garamond" w:cstheme="minorHAnsi"/>
                <w:b/>
                <w:bCs/>
                <w:sz w:val="20"/>
                <w:szCs w:val="20"/>
              </w:rPr>
            </w:pPr>
            <w:r w:rsidRPr="00052F8A">
              <w:rPr>
                <w:rFonts w:ascii="Garamond" w:hAnsi="Garamond" w:cstheme="minorHAnsi"/>
                <w:b/>
                <w:bCs/>
                <w:sz w:val="20"/>
                <w:szCs w:val="20"/>
              </w:rPr>
              <w:t>Operational Characteristics</w:t>
            </w:r>
          </w:p>
        </w:tc>
        <w:tc>
          <w:tcPr>
            <w:tcW w:w="875" w:type="dxa"/>
            <w:shd w:val="clear" w:color="auto" w:fill="auto"/>
            <w:tcMar>
              <w:top w:w="100" w:type="dxa"/>
              <w:left w:w="100" w:type="dxa"/>
              <w:bottom w:w="100" w:type="dxa"/>
              <w:right w:w="100" w:type="dxa"/>
            </w:tcMar>
          </w:tcPr>
          <w:p w14:paraId="727FB1E5" w14:textId="231D2880" w:rsidR="00AD4C97" w:rsidRPr="00052F8A" w:rsidRDefault="00AD4C97" w:rsidP="006F19EF">
            <w:pPr>
              <w:widowControl w:val="0"/>
              <w:rPr>
                <w:rFonts w:ascii="Garamond" w:hAnsi="Garamond" w:cstheme="minorHAnsi"/>
                <w:b/>
                <w:bCs/>
                <w:sz w:val="20"/>
                <w:szCs w:val="20"/>
              </w:rPr>
            </w:pPr>
            <w:r>
              <w:rPr>
                <w:rFonts w:ascii="Garamond" w:hAnsi="Garamond" w:cstheme="minorHAnsi"/>
                <w:b/>
                <w:bCs/>
                <w:sz w:val="20"/>
                <w:szCs w:val="20"/>
              </w:rPr>
              <w:t>Tech Wave</w:t>
            </w:r>
          </w:p>
        </w:tc>
        <w:tc>
          <w:tcPr>
            <w:tcW w:w="1170" w:type="dxa"/>
            <w:shd w:val="clear" w:color="auto" w:fill="auto"/>
            <w:tcMar>
              <w:top w:w="100" w:type="dxa"/>
              <w:left w:w="100" w:type="dxa"/>
              <w:bottom w:w="100" w:type="dxa"/>
              <w:right w:w="100" w:type="dxa"/>
            </w:tcMar>
          </w:tcPr>
          <w:p w14:paraId="27D8951B" w14:textId="3E706CBF" w:rsidR="00AD4C97" w:rsidRPr="00052F8A" w:rsidRDefault="00AD4C97" w:rsidP="00BC6A5E">
            <w:pPr>
              <w:widowControl w:val="0"/>
              <w:rPr>
                <w:rFonts w:ascii="Garamond" w:hAnsi="Garamond" w:cstheme="minorHAnsi"/>
                <w:b/>
                <w:bCs/>
                <w:sz w:val="20"/>
                <w:szCs w:val="20"/>
              </w:rPr>
            </w:pPr>
            <w:r w:rsidRPr="00052F8A">
              <w:rPr>
                <w:rFonts w:ascii="Garamond" w:hAnsi="Garamond" w:cstheme="minorHAnsi"/>
                <w:b/>
                <w:bCs/>
                <w:sz w:val="20"/>
                <w:szCs w:val="20"/>
              </w:rPr>
              <w:t>Avg Daily Distances</w:t>
            </w:r>
            <w:r w:rsidR="00B236DD">
              <w:rPr>
                <w:rStyle w:val="FootnoteReference"/>
                <w:rFonts w:ascii="Garamond" w:hAnsi="Garamond" w:cstheme="minorHAnsi"/>
                <w:b/>
                <w:bCs/>
                <w:sz w:val="20"/>
                <w:szCs w:val="20"/>
              </w:rPr>
              <w:footnoteReference w:id="6"/>
            </w:r>
          </w:p>
        </w:tc>
        <w:tc>
          <w:tcPr>
            <w:tcW w:w="1620" w:type="dxa"/>
            <w:shd w:val="clear" w:color="auto" w:fill="auto"/>
            <w:tcMar>
              <w:top w:w="100" w:type="dxa"/>
              <w:left w:w="100" w:type="dxa"/>
              <w:bottom w:w="100" w:type="dxa"/>
              <w:right w:w="100" w:type="dxa"/>
            </w:tcMar>
          </w:tcPr>
          <w:p w14:paraId="3ADCEA7A" w14:textId="1754DBF2" w:rsidR="00AD4C97" w:rsidRPr="00052F8A" w:rsidRDefault="00AD4C97" w:rsidP="00BC6A5E">
            <w:pPr>
              <w:widowControl w:val="0"/>
              <w:rPr>
                <w:rFonts w:ascii="Garamond" w:hAnsi="Garamond" w:cstheme="minorHAnsi"/>
                <w:b/>
                <w:bCs/>
                <w:sz w:val="20"/>
                <w:szCs w:val="20"/>
              </w:rPr>
            </w:pPr>
            <w:r w:rsidRPr="00052F8A">
              <w:rPr>
                <w:rFonts w:ascii="Garamond" w:hAnsi="Garamond" w:cstheme="minorHAnsi"/>
                <w:b/>
                <w:bCs/>
                <w:sz w:val="20"/>
                <w:szCs w:val="20"/>
              </w:rPr>
              <w:t>Typical Designation or Class</w:t>
            </w:r>
            <w:r w:rsidR="00B236DD">
              <w:rPr>
                <w:rStyle w:val="FootnoteReference"/>
                <w:rFonts w:ascii="Garamond" w:hAnsi="Garamond" w:cstheme="minorHAnsi"/>
                <w:b/>
                <w:bCs/>
                <w:sz w:val="20"/>
                <w:szCs w:val="20"/>
              </w:rPr>
              <w:footnoteReference w:id="7"/>
            </w:r>
            <w:r w:rsidR="00B236DD">
              <w:rPr>
                <w:rFonts w:ascii="Garamond" w:hAnsi="Garamond" w:cstheme="minorHAnsi"/>
                <w:b/>
                <w:bCs/>
                <w:sz w:val="20"/>
                <w:szCs w:val="20"/>
              </w:rPr>
              <w:t xml:space="preserve"> </w:t>
            </w:r>
            <w:r w:rsidR="00B236DD">
              <w:rPr>
                <w:rStyle w:val="FootnoteReference"/>
                <w:rFonts w:ascii="Garamond" w:hAnsi="Garamond" w:cstheme="minorHAnsi"/>
                <w:b/>
                <w:bCs/>
                <w:sz w:val="20"/>
                <w:szCs w:val="20"/>
              </w:rPr>
              <w:footnoteReference w:id="8"/>
            </w:r>
          </w:p>
        </w:tc>
        <w:tc>
          <w:tcPr>
            <w:tcW w:w="1284" w:type="dxa"/>
          </w:tcPr>
          <w:p w14:paraId="088E5FF5" w14:textId="0B7BB505" w:rsidR="00AD4C97" w:rsidRPr="00052F8A" w:rsidRDefault="00AD4C97" w:rsidP="00BC6A5E">
            <w:pPr>
              <w:widowControl w:val="0"/>
              <w:rPr>
                <w:rFonts w:ascii="Garamond" w:hAnsi="Garamond" w:cstheme="minorHAnsi"/>
                <w:b/>
                <w:bCs/>
                <w:sz w:val="20"/>
                <w:szCs w:val="20"/>
              </w:rPr>
            </w:pPr>
            <w:r w:rsidRPr="00052F8A">
              <w:rPr>
                <w:rFonts w:ascii="Garamond" w:hAnsi="Garamond" w:cstheme="minorHAnsi"/>
                <w:b/>
                <w:bCs/>
                <w:sz w:val="20"/>
                <w:szCs w:val="20"/>
              </w:rPr>
              <w:t>GVWR</w:t>
            </w:r>
            <w:r w:rsidR="00B236DD">
              <w:rPr>
                <w:rStyle w:val="FootnoteReference"/>
                <w:rFonts w:ascii="Garamond" w:hAnsi="Garamond" w:cstheme="minorHAnsi"/>
                <w:b/>
                <w:bCs/>
                <w:sz w:val="20"/>
                <w:szCs w:val="20"/>
              </w:rPr>
              <w:footnoteReference w:id="9"/>
            </w:r>
            <w:r w:rsidRPr="00052F8A">
              <w:rPr>
                <w:rFonts w:ascii="Garamond" w:hAnsi="Garamond" w:cstheme="minorHAnsi"/>
                <w:b/>
                <w:bCs/>
                <w:sz w:val="20"/>
                <w:szCs w:val="20"/>
              </w:rPr>
              <w:t xml:space="preserve"> Range</w:t>
            </w:r>
            <w:r w:rsidR="00B236DD">
              <w:rPr>
                <w:rStyle w:val="FootnoteReference"/>
                <w:rFonts w:ascii="Garamond" w:hAnsi="Garamond" w:cstheme="minorHAnsi"/>
                <w:b/>
                <w:bCs/>
                <w:sz w:val="20"/>
                <w:szCs w:val="20"/>
              </w:rPr>
              <w:footnoteReference w:id="10"/>
            </w:r>
          </w:p>
        </w:tc>
        <w:tc>
          <w:tcPr>
            <w:tcW w:w="1284" w:type="dxa"/>
            <w:shd w:val="clear" w:color="auto" w:fill="auto"/>
            <w:tcMar>
              <w:top w:w="100" w:type="dxa"/>
              <w:left w:w="100" w:type="dxa"/>
              <w:bottom w:w="100" w:type="dxa"/>
              <w:right w:w="100" w:type="dxa"/>
            </w:tcMar>
          </w:tcPr>
          <w:p w14:paraId="481C109A" w14:textId="23DC3E69" w:rsidR="00AD4C97" w:rsidRPr="00052F8A" w:rsidRDefault="00AD4C97" w:rsidP="00BC6A5E">
            <w:pPr>
              <w:widowControl w:val="0"/>
              <w:rPr>
                <w:rFonts w:ascii="Garamond" w:hAnsi="Garamond" w:cstheme="minorHAnsi"/>
                <w:b/>
                <w:bCs/>
                <w:sz w:val="20"/>
                <w:szCs w:val="20"/>
              </w:rPr>
            </w:pPr>
            <w:r w:rsidRPr="00052F8A">
              <w:rPr>
                <w:rFonts w:ascii="Garamond" w:hAnsi="Garamond" w:cstheme="minorHAnsi"/>
                <w:b/>
                <w:bCs/>
                <w:sz w:val="20"/>
                <w:szCs w:val="20"/>
              </w:rPr>
              <w:t xml:space="preserve">Charging </w:t>
            </w:r>
            <w:r>
              <w:rPr>
                <w:rFonts w:ascii="Garamond" w:hAnsi="Garamond" w:cstheme="minorHAnsi"/>
                <w:b/>
                <w:bCs/>
                <w:sz w:val="20"/>
                <w:szCs w:val="20"/>
              </w:rPr>
              <w:t>Method</w:t>
            </w:r>
          </w:p>
        </w:tc>
      </w:tr>
      <w:tr w:rsidR="00AD4C97" w:rsidRPr="00075CE6" w14:paraId="2E1B8FC7" w14:textId="77777777" w:rsidTr="61573DFA">
        <w:trPr>
          <w:trHeight w:val="1590"/>
        </w:trPr>
        <w:tc>
          <w:tcPr>
            <w:tcW w:w="1326" w:type="dxa"/>
            <w:shd w:val="clear" w:color="auto" w:fill="auto"/>
            <w:tcMar>
              <w:top w:w="100" w:type="dxa"/>
              <w:left w:w="100" w:type="dxa"/>
              <w:bottom w:w="100" w:type="dxa"/>
              <w:right w:w="100" w:type="dxa"/>
            </w:tcMar>
          </w:tcPr>
          <w:p w14:paraId="17F7337B" w14:textId="312D263B" w:rsidR="00AD4C97" w:rsidRPr="00052F8A" w:rsidRDefault="00AD4C97" w:rsidP="00BC6A5E">
            <w:pPr>
              <w:widowControl w:val="0"/>
              <w:rPr>
                <w:rFonts w:ascii="Garamond" w:hAnsi="Garamond" w:cstheme="minorHAnsi"/>
                <w:b/>
                <w:bCs/>
                <w:sz w:val="20"/>
                <w:szCs w:val="20"/>
              </w:rPr>
            </w:pPr>
            <w:r w:rsidRPr="00052F8A">
              <w:rPr>
                <w:rFonts w:ascii="Garamond" w:hAnsi="Garamond" w:cstheme="minorHAnsi"/>
                <w:b/>
                <w:bCs/>
                <w:noProof/>
                <w:sz w:val="20"/>
                <w:szCs w:val="20"/>
              </w:rPr>
              <w:drawing>
                <wp:anchor distT="0" distB="0" distL="114300" distR="114300" simplePos="0" relativeHeight="251658240" behindDoc="1" locked="0" layoutInCell="1" allowOverlap="1" wp14:anchorId="1632F118" wp14:editId="7B66CAC6">
                  <wp:simplePos x="0" y="0"/>
                  <wp:positionH relativeFrom="column">
                    <wp:posOffset>48049</wp:posOffset>
                  </wp:positionH>
                  <wp:positionV relativeFrom="paragraph">
                    <wp:posOffset>331682</wp:posOffset>
                  </wp:positionV>
                  <wp:extent cx="615950" cy="6159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61573DFA">
              <w:rPr>
                <w:rFonts w:ascii="Garamond" w:hAnsi="Garamond" w:cstheme="minorBidi"/>
                <w:b/>
                <w:bCs/>
                <w:sz w:val="20"/>
                <w:szCs w:val="20"/>
              </w:rPr>
              <w:t>Transit Bus</w:t>
            </w:r>
          </w:p>
        </w:tc>
        <w:tc>
          <w:tcPr>
            <w:tcW w:w="1749" w:type="dxa"/>
            <w:shd w:val="clear" w:color="auto" w:fill="auto"/>
            <w:tcMar>
              <w:top w:w="100" w:type="dxa"/>
              <w:left w:w="100" w:type="dxa"/>
              <w:bottom w:w="100" w:type="dxa"/>
              <w:right w:w="100" w:type="dxa"/>
            </w:tcMar>
          </w:tcPr>
          <w:p w14:paraId="017EBFDE" w14:textId="5CB34934"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Passenger vehicle with predictable, often fixed routes</w:t>
            </w:r>
          </w:p>
        </w:tc>
        <w:tc>
          <w:tcPr>
            <w:tcW w:w="875" w:type="dxa"/>
            <w:shd w:val="clear" w:color="auto" w:fill="auto"/>
            <w:tcMar>
              <w:top w:w="100" w:type="dxa"/>
              <w:left w:w="100" w:type="dxa"/>
              <w:bottom w:w="100" w:type="dxa"/>
              <w:right w:w="100" w:type="dxa"/>
            </w:tcMar>
          </w:tcPr>
          <w:p w14:paraId="76935461" w14:textId="650C3ABD"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First</w:t>
            </w:r>
          </w:p>
        </w:tc>
        <w:tc>
          <w:tcPr>
            <w:tcW w:w="1170" w:type="dxa"/>
            <w:shd w:val="clear" w:color="auto" w:fill="auto"/>
            <w:tcMar>
              <w:top w:w="100" w:type="dxa"/>
              <w:left w:w="100" w:type="dxa"/>
              <w:bottom w:w="100" w:type="dxa"/>
              <w:right w:w="100" w:type="dxa"/>
            </w:tcMar>
          </w:tcPr>
          <w:p w14:paraId="0D18F7F1" w14:textId="21363F40"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93 miles / 150 km</w:t>
            </w:r>
          </w:p>
        </w:tc>
        <w:tc>
          <w:tcPr>
            <w:tcW w:w="1620" w:type="dxa"/>
            <w:shd w:val="clear" w:color="auto" w:fill="auto"/>
            <w:tcMar>
              <w:top w:w="100" w:type="dxa"/>
              <w:left w:w="100" w:type="dxa"/>
              <w:bottom w:w="100" w:type="dxa"/>
              <w:right w:w="100" w:type="dxa"/>
            </w:tcMar>
          </w:tcPr>
          <w:p w14:paraId="11EC8A62" w14:textId="0367DF7A"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Class 4-8</w:t>
            </w:r>
          </w:p>
        </w:tc>
        <w:tc>
          <w:tcPr>
            <w:tcW w:w="1284" w:type="dxa"/>
          </w:tcPr>
          <w:p w14:paraId="06BD479B" w14:textId="00F0DB21"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 xml:space="preserve">16,000 -61,730 </w:t>
            </w:r>
            <w:proofErr w:type="spellStart"/>
            <w:r w:rsidRPr="00052F8A">
              <w:rPr>
                <w:rFonts w:ascii="Garamond" w:hAnsi="Garamond" w:cstheme="minorHAnsi"/>
                <w:sz w:val="20"/>
                <w:szCs w:val="20"/>
              </w:rPr>
              <w:t>lbs</w:t>
            </w:r>
            <w:proofErr w:type="spellEnd"/>
            <w:r w:rsidRPr="00052F8A">
              <w:rPr>
                <w:rFonts w:ascii="Garamond" w:hAnsi="Garamond" w:cstheme="minorHAnsi"/>
                <w:sz w:val="20"/>
                <w:szCs w:val="20"/>
              </w:rPr>
              <w:t xml:space="preserve"> / 7,255-28,000 kg</w:t>
            </w:r>
          </w:p>
        </w:tc>
        <w:tc>
          <w:tcPr>
            <w:tcW w:w="1284" w:type="dxa"/>
            <w:shd w:val="clear" w:color="auto" w:fill="auto"/>
            <w:tcMar>
              <w:top w:w="100" w:type="dxa"/>
              <w:left w:w="100" w:type="dxa"/>
              <w:bottom w:w="100" w:type="dxa"/>
              <w:right w:w="100" w:type="dxa"/>
            </w:tcMar>
          </w:tcPr>
          <w:p w14:paraId="3A857D10" w14:textId="392544E1" w:rsidR="00AD4C97" w:rsidRPr="00052F8A" w:rsidRDefault="00AD4C97" w:rsidP="10AE95DA">
            <w:pPr>
              <w:widowControl w:val="0"/>
              <w:rPr>
                <w:rFonts w:ascii="Garamond" w:hAnsi="Garamond" w:cstheme="minorBidi"/>
                <w:sz w:val="20"/>
                <w:szCs w:val="20"/>
              </w:rPr>
            </w:pPr>
            <w:r w:rsidRPr="00052F8A">
              <w:rPr>
                <w:rFonts w:ascii="Garamond" w:hAnsi="Garamond" w:cstheme="minorBidi"/>
                <w:sz w:val="20"/>
                <w:szCs w:val="20"/>
              </w:rPr>
              <w:t>Depot, On-Route</w:t>
            </w:r>
          </w:p>
        </w:tc>
      </w:tr>
      <w:tr w:rsidR="00AD4C97" w:rsidRPr="00075CE6" w14:paraId="4EBDBB38" w14:textId="77777777" w:rsidTr="61573DFA">
        <w:tc>
          <w:tcPr>
            <w:tcW w:w="1326" w:type="dxa"/>
            <w:shd w:val="clear" w:color="auto" w:fill="auto"/>
            <w:tcMar>
              <w:top w:w="100" w:type="dxa"/>
              <w:left w:w="100" w:type="dxa"/>
              <w:bottom w:w="100" w:type="dxa"/>
              <w:right w:w="100" w:type="dxa"/>
            </w:tcMar>
          </w:tcPr>
          <w:p w14:paraId="0956EF4C" w14:textId="7CE200AF" w:rsidR="00AD4C97" w:rsidRPr="00052F8A" w:rsidRDefault="00AD4C97" w:rsidP="00BC6A5E">
            <w:pPr>
              <w:widowControl w:val="0"/>
              <w:rPr>
                <w:rFonts w:ascii="Garamond" w:hAnsi="Garamond" w:cstheme="minorHAnsi"/>
                <w:b/>
                <w:bCs/>
                <w:sz w:val="20"/>
                <w:szCs w:val="20"/>
              </w:rPr>
            </w:pPr>
            <w:r w:rsidRPr="00052F8A">
              <w:rPr>
                <w:rFonts w:ascii="Garamond" w:hAnsi="Garamond" w:cstheme="minorHAnsi"/>
                <w:b/>
                <w:bCs/>
                <w:noProof/>
                <w:sz w:val="20"/>
                <w:szCs w:val="20"/>
              </w:rPr>
              <w:drawing>
                <wp:anchor distT="0" distB="0" distL="114300" distR="114300" simplePos="0" relativeHeight="251658243" behindDoc="0" locked="0" layoutInCell="1" allowOverlap="1" wp14:anchorId="343424D6" wp14:editId="317E05D1">
                  <wp:simplePos x="0" y="0"/>
                  <wp:positionH relativeFrom="column">
                    <wp:posOffset>-13335</wp:posOffset>
                  </wp:positionH>
                  <wp:positionV relativeFrom="paragraph">
                    <wp:posOffset>220768</wp:posOffset>
                  </wp:positionV>
                  <wp:extent cx="615950" cy="6159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61573DFA">
              <w:rPr>
                <w:rFonts w:ascii="Garamond" w:hAnsi="Garamond" w:cstheme="minorBidi"/>
                <w:b/>
                <w:bCs/>
                <w:sz w:val="20"/>
                <w:szCs w:val="20"/>
              </w:rPr>
              <w:t>Shuttle Bus</w:t>
            </w:r>
          </w:p>
        </w:tc>
        <w:tc>
          <w:tcPr>
            <w:tcW w:w="1749" w:type="dxa"/>
            <w:shd w:val="clear" w:color="auto" w:fill="auto"/>
            <w:tcMar>
              <w:top w:w="100" w:type="dxa"/>
              <w:left w:w="100" w:type="dxa"/>
              <w:bottom w:w="100" w:type="dxa"/>
              <w:right w:w="100" w:type="dxa"/>
            </w:tcMar>
          </w:tcPr>
          <w:p w14:paraId="6726FB9E" w14:textId="65D04247"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Passenger vehicle with highly variable routes</w:t>
            </w:r>
          </w:p>
        </w:tc>
        <w:tc>
          <w:tcPr>
            <w:tcW w:w="875" w:type="dxa"/>
            <w:shd w:val="clear" w:color="auto" w:fill="auto"/>
            <w:tcMar>
              <w:top w:w="100" w:type="dxa"/>
              <w:left w:w="100" w:type="dxa"/>
              <w:bottom w:w="100" w:type="dxa"/>
              <w:right w:w="100" w:type="dxa"/>
            </w:tcMar>
          </w:tcPr>
          <w:p w14:paraId="5D8FC166" w14:textId="30758223"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Second</w:t>
            </w:r>
          </w:p>
        </w:tc>
        <w:tc>
          <w:tcPr>
            <w:tcW w:w="1170" w:type="dxa"/>
            <w:shd w:val="clear" w:color="auto" w:fill="auto"/>
            <w:tcMar>
              <w:top w:w="100" w:type="dxa"/>
              <w:left w:w="100" w:type="dxa"/>
              <w:bottom w:w="100" w:type="dxa"/>
              <w:right w:w="100" w:type="dxa"/>
            </w:tcMar>
          </w:tcPr>
          <w:p w14:paraId="6EFB608F" w14:textId="018B9622"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62 miles / 100 km</w:t>
            </w:r>
          </w:p>
        </w:tc>
        <w:tc>
          <w:tcPr>
            <w:tcW w:w="1620" w:type="dxa"/>
            <w:shd w:val="clear" w:color="auto" w:fill="auto"/>
            <w:tcMar>
              <w:top w:w="100" w:type="dxa"/>
              <w:left w:w="100" w:type="dxa"/>
              <w:bottom w:w="100" w:type="dxa"/>
              <w:right w:w="100" w:type="dxa"/>
            </w:tcMar>
          </w:tcPr>
          <w:p w14:paraId="3CB44D7A" w14:textId="562CA3A0"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Class 3-6</w:t>
            </w:r>
          </w:p>
        </w:tc>
        <w:tc>
          <w:tcPr>
            <w:tcW w:w="1284" w:type="dxa"/>
          </w:tcPr>
          <w:p w14:paraId="4F7BD106" w14:textId="75BC59A9"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 xml:space="preserve">10,360 – 30,000 </w:t>
            </w:r>
            <w:proofErr w:type="spellStart"/>
            <w:r w:rsidRPr="00052F8A">
              <w:rPr>
                <w:rFonts w:ascii="Garamond" w:hAnsi="Garamond" w:cstheme="minorHAnsi"/>
                <w:sz w:val="20"/>
                <w:szCs w:val="20"/>
              </w:rPr>
              <w:t>lbs</w:t>
            </w:r>
            <w:proofErr w:type="spellEnd"/>
            <w:r w:rsidRPr="00052F8A">
              <w:rPr>
                <w:rFonts w:ascii="Garamond" w:hAnsi="Garamond" w:cstheme="minorHAnsi"/>
                <w:sz w:val="20"/>
                <w:szCs w:val="20"/>
              </w:rPr>
              <w:t xml:space="preserve"> / 4,700 – 13,607 kg</w:t>
            </w:r>
          </w:p>
        </w:tc>
        <w:tc>
          <w:tcPr>
            <w:tcW w:w="1284" w:type="dxa"/>
            <w:shd w:val="clear" w:color="auto" w:fill="auto"/>
            <w:tcMar>
              <w:top w:w="100" w:type="dxa"/>
              <w:left w:w="100" w:type="dxa"/>
              <w:bottom w:w="100" w:type="dxa"/>
              <w:right w:w="100" w:type="dxa"/>
            </w:tcMar>
          </w:tcPr>
          <w:p w14:paraId="6C0D2127" w14:textId="2670C680" w:rsidR="00AD4C97" w:rsidRPr="00052F8A" w:rsidRDefault="00AD4C97" w:rsidP="10AE95DA">
            <w:pPr>
              <w:widowControl w:val="0"/>
              <w:rPr>
                <w:rFonts w:ascii="Garamond" w:hAnsi="Garamond" w:cstheme="minorBidi"/>
                <w:sz w:val="20"/>
                <w:szCs w:val="20"/>
              </w:rPr>
            </w:pPr>
            <w:r w:rsidRPr="00052F8A">
              <w:rPr>
                <w:rFonts w:ascii="Garamond" w:hAnsi="Garamond" w:cstheme="minorBidi"/>
                <w:sz w:val="20"/>
                <w:szCs w:val="20"/>
              </w:rPr>
              <w:t>Depot, Opportunity</w:t>
            </w:r>
          </w:p>
        </w:tc>
      </w:tr>
      <w:tr w:rsidR="00AD4C97" w:rsidRPr="00075CE6" w14:paraId="2DF72FA7" w14:textId="77777777" w:rsidTr="61573DFA">
        <w:tc>
          <w:tcPr>
            <w:tcW w:w="1326" w:type="dxa"/>
            <w:shd w:val="clear" w:color="auto" w:fill="auto"/>
            <w:tcMar>
              <w:top w:w="100" w:type="dxa"/>
              <w:left w:w="100" w:type="dxa"/>
              <w:bottom w:w="100" w:type="dxa"/>
              <w:right w:w="100" w:type="dxa"/>
            </w:tcMar>
          </w:tcPr>
          <w:p w14:paraId="06509B5E" w14:textId="43783954" w:rsidR="00AD4C97" w:rsidRPr="00052F8A" w:rsidRDefault="00AD4C97" w:rsidP="00BC6A5E">
            <w:pPr>
              <w:widowControl w:val="0"/>
              <w:rPr>
                <w:rFonts w:ascii="Garamond" w:hAnsi="Garamond" w:cstheme="minorHAnsi"/>
                <w:b/>
                <w:bCs/>
                <w:sz w:val="20"/>
                <w:szCs w:val="20"/>
              </w:rPr>
            </w:pPr>
            <w:r w:rsidRPr="00052F8A">
              <w:rPr>
                <w:rFonts w:ascii="Garamond" w:hAnsi="Garamond" w:cstheme="minorHAnsi"/>
                <w:b/>
                <w:bCs/>
                <w:noProof/>
                <w:sz w:val="20"/>
                <w:szCs w:val="20"/>
              </w:rPr>
              <w:drawing>
                <wp:anchor distT="0" distB="0" distL="114300" distR="114300" simplePos="0" relativeHeight="251658242" behindDoc="0" locked="0" layoutInCell="1" allowOverlap="1" wp14:anchorId="7CC98993" wp14:editId="4AB1EE61">
                  <wp:simplePos x="0" y="0"/>
                  <wp:positionH relativeFrom="column">
                    <wp:posOffset>-13335</wp:posOffset>
                  </wp:positionH>
                  <wp:positionV relativeFrom="paragraph">
                    <wp:posOffset>220134</wp:posOffset>
                  </wp:positionV>
                  <wp:extent cx="615950" cy="6159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anchor>
              </w:drawing>
            </w:r>
            <w:r w:rsidRPr="61573DFA">
              <w:rPr>
                <w:rFonts w:ascii="Garamond" w:hAnsi="Garamond" w:cstheme="minorBidi"/>
                <w:b/>
                <w:bCs/>
                <w:sz w:val="20"/>
                <w:szCs w:val="20"/>
              </w:rPr>
              <w:t>School Bus</w:t>
            </w:r>
          </w:p>
        </w:tc>
        <w:tc>
          <w:tcPr>
            <w:tcW w:w="1749" w:type="dxa"/>
            <w:shd w:val="clear" w:color="auto" w:fill="auto"/>
            <w:tcMar>
              <w:top w:w="100" w:type="dxa"/>
              <w:left w:w="100" w:type="dxa"/>
              <w:bottom w:w="100" w:type="dxa"/>
              <w:right w:w="100" w:type="dxa"/>
            </w:tcMar>
          </w:tcPr>
          <w:p w14:paraId="5D651B78" w14:textId="630B3EE3"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Passenger vehicle with typically predictable, but not fixed routes</w:t>
            </w:r>
          </w:p>
        </w:tc>
        <w:tc>
          <w:tcPr>
            <w:tcW w:w="875" w:type="dxa"/>
            <w:shd w:val="clear" w:color="auto" w:fill="auto"/>
            <w:tcMar>
              <w:top w:w="100" w:type="dxa"/>
              <w:left w:w="100" w:type="dxa"/>
              <w:bottom w:w="100" w:type="dxa"/>
              <w:right w:w="100" w:type="dxa"/>
            </w:tcMar>
          </w:tcPr>
          <w:p w14:paraId="0ADBBEE3" w14:textId="02374148"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Second</w:t>
            </w:r>
          </w:p>
        </w:tc>
        <w:tc>
          <w:tcPr>
            <w:tcW w:w="1170" w:type="dxa"/>
            <w:shd w:val="clear" w:color="auto" w:fill="auto"/>
            <w:tcMar>
              <w:top w:w="100" w:type="dxa"/>
              <w:left w:w="100" w:type="dxa"/>
              <w:bottom w:w="100" w:type="dxa"/>
              <w:right w:w="100" w:type="dxa"/>
            </w:tcMar>
          </w:tcPr>
          <w:p w14:paraId="2B36BA58" w14:textId="37E7EF10"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67 miles</w:t>
            </w:r>
            <w:r w:rsidR="00B236DD">
              <w:rPr>
                <w:rStyle w:val="FootnoteReference"/>
                <w:rFonts w:ascii="Garamond" w:hAnsi="Garamond" w:cstheme="minorHAnsi"/>
                <w:sz w:val="20"/>
                <w:szCs w:val="20"/>
              </w:rPr>
              <w:footnoteReference w:id="11"/>
            </w:r>
            <w:r w:rsidRPr="00052F8A">
              <w:rPr>
                <w:rFonts w:ascii="Garamond" w:hAnsi="Garamond" w:cstheme="minorHAnsi"/>
                <w:sz w:val="20"/>
                <w:szCs w:val="20"/>
              </w:rPr>
              <w:t xml:space="preserve"> / 108 km</w:t>
            </w:r>
          </w:p>
        </w:tc>
        <w:tc>
          <w:tcPr>
            <w:tcW w:w="1620" w:type="dxa"/>
            <w:shd w:val="clear" w:color="auto" w:fill="auto"/>
            <w:tcMar>
              <w:top w:w="100" w:type="dxa"/>
              <w:left w:w="100" w:type="dxa"/>
              <w:bottom w:w="100" w:type="dxa"/>
              <w:right w:w="100" w:type="dxa"/>
            </w:tcMar>
          </w:tcPr>
          <w:p w14:paraId="6D979E6E" w14:textId="7AEA902C"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Types</w:t>
            </w:r>
            <w:r w:rsidR="00A71ACE">
              <w:rPr>
                <w:rStyle w:val="FootnoteReference"/>
                <w:rFonts w:ascii="Garamond" w:hAnsi="Garamond" w:cstheme="minorHAnsi"/>
                <w:sz w:val="20"/>
                <w:szCs w:val="20"/>
              </w:rPr>
              <w:footnoteReference w:id="12"/>
            </w:r>
            <w:r w:rsidRPr="00052F8A">
              <w:rPr>
                <w:rFonts w:ascii="Garamond" w:hAnsi="Garamond" w:cstheme="minorHAnsi"/>
                <w:sz w:val="20"/>
                <w:szCs w:val="20"/>
              </w:rPr>
              <w:t xml:space="preserve"> A, B, C, D</w:t>
            </w:r>
          </w:p>
        </w:tc>
        <w:tc>
          <w:tcPr>
            <w:tcW w:w="1284" w:type="dxa"/>
          </w:tcPr>
          <w:p w14:paraId="3BF634A2" w14:textId="6B11DF31"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 xml:space="preserve">10,000 – 32,000 </w:t>
            </w:r>
            <w:proofErr w:type="spellStart"/>
            <w:r w:rsidRPr="00052F8A">
              <w:rPr>
                <w:rFonts w:ascii="Garamond" w:hAnsi="Garamond" w:cstheme="minorHAnsi"/>
                <w:sz w:val="20"/>
                <w:szCs w:val="20"/>
              </w:rPr>
              <w:t>lbs</w:t>
            </w:r>
            <w:proofErr w:type="spellEnd"/>
            <w:r w:rsidRPr="00052F8A">
              <w:rPr>
                <w:rFonts w:ascii="Garamond" w:hAnsi="Garamond" w:cstheme="minorHAnsi"/>
                <w:sz w:val="20"/>
                <w:szCs w:val="20"/>
              </w:rPr>
              <w:t xml:space="preserve"> / 4,500 – 14,400 kg</w:t>
            </w:r>
          </w:p>
        </w:tc>
        <w:tc>
          <w:tcPr>
            <w:tcW w:w="1284" w:type="dxa"/>
            <w:shd w:val="clear" w:color="auto" w:fill="auto"/>
            <w:tcMar>
              <w:top w:w="100" w:type="dxa"/>
              <w:left w:w="100" w:type="dxa"/>
              <w:bottom w:w="100" w:type="dxa"/>
              <w:right w:w="100" w:type="dxa"/>
            </w:tcMar>
          </w:tcPr>
          <w:p w14:paraId="6CA5C158" w14:textId="5C0EB9AE"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Depot, Opportunity</w:t>
            </w:r>
          </w:p>
        </w:tc>
      </w:tr>
      <w:tr w:rsidR="00AD4C97" w:rsidRPr="00075CE6" w14:paraId="7AAA0E14" w14:textId="77777777" w:rsidTr="61573DFA">
        <w:tc>
          <w:tcPr>
            <w:tcW w:w="1326" w:type="dxa"/>
            <w:shd w:val="clear" w:color="auto" w:fill="auto"/>
            <w:tcMar>
              <w:top w:w="100" w:type="dxa"/>
              <w:left w:w="100" w:type="dxa"/>
              <w:bottom w:w="100" w:type="dxa"/>
              <w:right w:w="100" w:type="dxa"/>
            </w:tcMar>
          </w:tcPr>
          <w:p w14:paraId="3871875F" w14:textId="6090A66D" w:rsidR="00AD4C97" w:rsidRPr="00052F8A" w:rsidRDefault="00AD4C97" w:rsidP="00BC6A5E">
            <w:pPr>
              <w:widowControl w:val="0"/>
              <w:rPr>
                <w:rFonts w:ascii="Garamond" w:hAnsi="Garamond" w:cstheme="minorHAnsi"/>
                <w:b/>
                <w:bCs/>
                <w:sz w:val="20"/>
                <w:szCs w:val="20"/>
              </w:rPr>
            </w:pPr>
            <w:r w:rsidRPr="00052F8A">
              <w:rPr>
                <w:rFonts w:ascii="Garamond" w:hAnsi="Garamond" w:cstheme="minorHAnsi"/>
                <w:b/>
                <w:bCs/>
                <w:noProof/>
                <w:sz w:val="20"/>
                <w:szCs w:val="20"/>
              </w:rPr>
              <w:drawing>
                <wp:anchor distT="0" distB="0" distL="114300" distR="114300" simplePos="0" relativeHeight="251658241" behindDoc="0" locked="0" layoutInCell="1" allowOverlap="1" wp14:anchorId="232CC05F" wp14:editId="2712D5B5">
                  <wp:simplePos x="0" y="0"/>
                  <wp:positionH relativeFrom="column">
                    <wp:posOffset>37465</wp:posOffset>
                  </wp:positionH>
                  <wp:positionV relativeFrom="paragraph">
                    <wp:posOffset>314748</wp:posOffset>
                  </wp:positionV>
                  <wp:extent cx="615950" cy="6159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anchor>
              </w:drawing>
            </w:r>
            <w:r w:rsidRPr="61573DFA">
              <w:rPr>
                <w:rFonts w:ascii="Garamond" w:hAnsi="Garamond" w:cstheme="minorBidi"/>
                <w:b/>
                <w:bCs/>
                <w:sz w:val="20"/>
                <w:szCs w:val="20"/>
              </w:rPr>
              <w:t>Delivery Van</w:t>
            </w:r>
          </w:p>
        </w:tc>
        <w:tc>
          <w:tcPr>
            <w:tcW w:w="1749" w:type="dxa"/>
            <w:shd w:val="clear" w:color="auto" w:fill="auto"/>
            <w:tcMar>
              <w:top w:w="100" w:type="dxa"/>
              <w:left w:w="100" w:type="dxa"/>
              <w:bottom w:w="100" w:type="dxa"/>
              <w:right w:w="100" w:type="dxa"/>
            </w:tcMar>
          </w:tcPr>
          <w:p w14:paraId="76631775" w14:textId="01015B5B"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Cargo vehicle to complete last-mile deliveries over variable routes</w:t>
            </w:r>
          </w:p>
        </w:tc>
        <w:tc>
          <w:tcPr>
            <w:tcW w:w="875" w:type="dxa"/>
            <w:shd w:val="clear" w:color="auto" w:fill="auto"/>
            <w:tcMar>
              <w:top w:w="100" w:type="dxa"/>
              <w:left w:w="100" w:type="dxa"/>
              <w:bottom w:w="100" w:type="dxa"/>
              <w:right w:w="100" w:type="dxa"/>
            </w:tcMar>
          </w:tcPr>
          <w:p w14:paraId="5287DC70" w14:textId="19C364C9"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Second</w:t>
            </w:r>
          </w:p>
        </w:tc>
        <w:tc>
          <w:tcPr>
            <w:tcW w:w="1170" w:type="dxa"/>
            <w:shd w:val="clear" w:color="auto" w:fill="auto"/>
            <w:tcMar>
              <w:top w:w="100" w:type="dxa"/>
              <w:left w:w="100" w:type="dxa"/>
              <w:bottom w:w="100" w:type="dxa"/>
              <w:right w:w="100" w:type="dxa"/>
            </w:tcMar>
          </w:tcPr>
          <w:p w14:paraId="4120951F" w14:textId="0968C4F5"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33 miles / 53 km</w:t>
            </w:r>
          </w:p>
        </w:tc>
        <w:tc>
          <w:tcPr>
            <w:tcW w:w="1620" w:type="dxa"/>
            <w:shd w:val="clear" w:color="auto" w:fill="auto"/>
            <w:tcMar>
              <w:top w:w="100" w:type="dxa"/>
              <w:left w:w="100" w:type="dxa"/>
              <w:bottom w:w="100" w:type="dxa"/>
              <w:right w:w="100" w:type="dxa"/>
            </w:tcMar>
          </w:tcPr>
          <w:p w14:paraId="1A059756" w14:textId="0C385003"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Class 3-5</w:t>
            </w:r>
          </w:p>
        </w:tc>
        <w:tc>
          <w:tcPr>
            <w:tcW w:w="1284" w:type="dxa"/>
          </w:tcPr>
          <w:p w14:paraId="1E2276F8" w14:textId="33133E22"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 xml:space="preserve">4,630 -10,535 </w:t>
            </w:r>
            <w:proofErr w:type="spellStart"/>
            <w:r w:rsidRPr="00052F8A">
              <w:rPr>
                <w:rFonts w:ascii="Garamond" w:hAnsi="Garamond" w:cstheme="minorHAnsi"/>
                <w:sz w:val="20"/>
                <w:szCs w:val="20"/>
              </w:rPr>
              <w:t>lbs</w:t>
            </w:r>
            <w:proofErr w:type="spellEnd"/>
            <w:r w:rsidRPr="00052F8A">
              <w:rPr>
                <w:rFonts w:ascii="Garamond" w:hAnsi="Garamond" w:cstheme="minorHAnsi"/>
                <w:sz w:val="20"/>
                <w:szCs w:val="20"/>
              </w:rPr>
              <w:t xml:space="preserve"> / 2,100 -4,778 kg</w:t>
            </w:r>
          </w:p>
        </w:tc>
        <w:tc>
          <w:tcPr>
            <w:tcW w:w="1284" w:type="dxa"/>
            <w:shd w:val="clear" w:color="auto" w:fill="auto"/>
            <w:tcMar>
              <w:top w:w="100" w:type="dxa"/>
              <w:left w:w="100" w:type="dxa"/>
              <w:bottom w:w="100" w:type="dxa"/>
              <w:right w:w="100" w:type="dxa"/>
            </w:tcMar>
          </w:tcPr>
          <w:p w14:paraId="638B863F" w14:textId="6F4DFE52"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Depot, Opportunity</w:t>
            </w:r>
          </w:p>
        </w:tc>
      </w:tr>
      <w:tr w:rsidR="00AD4C97" w:rsidRPr="00075CE6" w14:paraId="19440624" w14:textId="77777777" w:rsidTr="61573DFA">
        <w:tc>
          <w:tcPr>
            <w:tcW w:w="1326" w:type="dxa"/>
            <w:shd w:val="clear" w:color="auto" w:fill="auto"/>
            <w:tcMar>
              <w:top w:w="100" w:type="dxa"/>
              <w:left w:w="100" w:type="dxa"/>
              <w:bottom w:w="100" w:type="dxa"/>
              <w:right w:w="100" w:type="dxa"/>
            </w:tcMar>
          </w:tcPr>
          <w:p w14:paraId="1B140BD4" w14:textId="3F9F41C6" w:rsidR="00AD4C97" w:rsidRPr="00052F8A" w:rsidRDefault="00AD4C97" w:rsidP="00BC6A5E">
            <w:pPr>
              <w:widowControl w:val="0"/>
              <w:rPr>
                <w:rFonts w:ascii="Garamond" w:hAnsi="Garamond" w:cstheme="minorHAnsi"/>
                <w:b/>
                <w:bCs/>
                <w:sz w:val="20"/>
                <w:szCs w:val="20"/>
              </w:rPr>
            </w:pPr>
            <w:r w:rsidRPr="00052F8A">
              <w:rPr>
                <w:rFonts w:ascii="Garamond" w:hAnsi="Garamond" w:cstheme="minorHAnsi"/>
                <w:b/>
                <w:bCs/>
                <w:noProof/>
                <w:sz w:val="20"/>
                <w:szCs w:val="20"/>
              </w:rPr>
              <w:lastRenderedPageBreak/>
              <w:drawing>
                <wp:anchor distT="0" distB="0" distL="114300" distR="114300" simplePos="0" relativeHeight="251658244" behindDoc="0" locked="0" layoutInCell="1" allowOverlap="1" wp14:anchorId="5D71D666" wp14:editId="17EBE693">
                  <wp:simplePos x="0" y="0"/>
                  <wp:positionH relativeFrom="column">
                    <wp:posOffset>20320</wp:posOffset>
                  </wp:positionH>
                  <wp:positionV relativeFrom="paragraph">
                    <wp:posOffset>532553</wp:posOffset>
                  </wp:positionV>
                  <wp:extent cx="615950" cy="6159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61573DFA">
              <w:rPr>
                <w:rFonts w:ascii="Garamond" w:hAnsi="Garamond" w:cstheme="minorBidi"/>
                <w:b/>
                <w:bCs/>
                <w:sz w:val="20"/>
                <w:szCs w:val="20"/>
              </w:rPr>
              <w:t>MHD Regional Delivery</w:t>
            </w:r>
          </w:p>
        </w:tc>
        <w:tc>
          <w:tcPr>
            <w:tcW w:w="1749" w:type="dxa"/>
            <w:shd w:val="clear" w:color="auto" w:fill="auto"/>
            <w:tcMar>
              <w:top w:w="100" w:type="dxa"/>
              <w:left w:w="100" w:type="dxa"/>
              <w:bottom w:w="100" w:type="dxa"/>
              <w:right w:w="100" w:type="dxa"/>
            </w:tcMar>
          </w:tcPr>
          <w:p w14:paraId="6B1690E4" w14:textId="3497BAC3"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Cargo vehicle to deliver retail goods over variable routes</w:t>
            </w:r>
          </w:p>
        </w:tc>
        <w:tc>
          <w:tcPr>
            <w:tcW w:w="875" w:type="dxa"/>
            <w:shd w:val="clear" w:color="auto" w:fill="auto"/>
            <w:tcMar>
              <w:top w:w="100" w:type="dxa"/>
              <w:left w:w="100" w:type="dxa"/>
              <w:bottom w:w="100" w:type="dxa"/>
              <w:right w:w="100" w:type="dxa"/>
            </w:tcMar>
          </w:tcPr>
          <w:p w14:paraId="5BC1629A" w14:textId="68DB5F9F"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Third</w:t>
            </w:r>
          </w:p>
        </w:tc>
        <w:tc>
          <w:tcPr>
            <w:tcW w:w="1170" w:type="dxa"/>
            <w:shd w:val="clear" w:color="auto" w:fill="auto"/>
            <w:tcMar>
              <w:top w:w="100" w:type="dxa"/>
              <w:left w:w="100" w:type="dxa"/>
              <w:bottom w:w="100" w:type="dxa"/>
              <w:right w:w="100" w:type="dxa"/>
            </w:tcMar>
          </w:tcPr>
          <w:p w14:paraId="24F09DD1" w14:textId="20D9141B"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36 miles / 58 km</w:t>
            </w:r>
          </w:p>
        </w:tc>
        <w:tc>
          <w:tcPr>
            <w:tcW w:w="1620" w:type="dxa"/>
            <w:shd w:val="clear" w:color="auto" w:fill="auto"/>
            <w:tcMar>
              <w:top w:w="100" w:type="dxa"/>
              <w:left w:w="100" w:type="dxa"/>
              <w:bottom w:w="100" w:type="dxa"/>
              <w:right w:w="100" w:type="dxa"/>
            </w:tcMar>
          </w:tcPr>
          <w:p w14:paraId="3DE315AC" w14:textId="676240C1"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Class 4-7</w:t>
            </w:r>
          </w:p>
        </w:tc>
        <w:tc>
          <w:tcPr>
            <w:tcW w:w="1284" w:type="dxa"/>
          </w:tcPr>
          <w:p w14:paraId="07ECD9B2" w14:textId="0B036FC7"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 xml:space="preserve">9,910 -39,683 </w:t>
            </w:r>
            <w:proofErr w:type="spellStart"/>
            <w:r w:rsidRPr="00052F8A">
              <w:rPr>
                <w:rFonts w:ascii="Garamond" w:hAnsi="Garamond" w:cstheme="minorHAnsi"/>
                <w:sz w:val="20"/>
                <w:szCs w:val="20"/>
              </w:rPr>
              <w:t>lbs</w:t>
            </w:r>
            <w:proofErr w:type="spellEnd"/>
            <w:r w:rsidRPr="00052F8A">
              <w:rPr>
                <w:rFonts w:ascii="Garamond" w:hAnsi="Garamond" w:cstheme="minorHAnsi"/>
                <w:sz w:val="20"/>
                <w:szCs w:val="20"/>
              </w:rPr>
              <w:t xml:space="preserve"> / 4,495 -18,000 kg</w:t>
            </w:r>
          </w:p>
        </w:tc>
        <w:tc>
          <w:tcPr>
            <w:tcW w:w="1284" w:type="dxa"/>
            <w:shd w:val="clear" w:color="auto" w:fill="auto"/>
            <w:tcMar>
              <w:top w:w="100" w:type="dxa"/>
              <w:left w:w="100" w:type="dxa"/>
              <w:bottom w:w="100" w:type="dxa"/>
              <w:right w:w="100" w:type="dxa"/>
            </w:tcMar>
          </w:tcPr>
          <w:p w14:paraId="4BC32A8B" w14:textId="2B3AC037"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Depot, Opportunity</w:t>
            </w:r>
          </w:p>
        </w:tc>
      </w:tr>
      <w:tr w:rsidR="00AD4C97" w:rsidRPr="00075CE6" w14:paraId="2AB9BBE8" w14:textId="77777777" w:rsidTr="61573DFA">
        <w:tc>
          <w:tcPr>
            <w:tcW w:w="1326" w:type="dxa"/>
            <w:shd w:val="clear" w:color="auto" w:fill="auto"/>
            <w:tcMar>
              <w:top w:w="100" w:type="dxa"/>
              <w:left w:w="100" w:type="dxa"/>
              <w:bottom w:w="100" w:type="dxa"/>
              <w:right w:w="100" w:type="dxa"/>
            </w:tcMar>
          </w:tcPr>
          <w:p w14:paraId="640B6E86" w14:textId="77777777" w:rsidR="00AD4C97" w:rsidRDefault="00AD4C97" w:rsidP="00BC6A5E">
            <w:pPr>
              <w:widowControl w:val="0"/>
              <w:rPr>
                <w:rFonts w:ascii="Garamond" w:hAnsi="Garamond" w:cstheme="minorHAnsi"/>
                <w:b/>
                <w:bCs/>
                <w:noProof/>
                <w:sz w:val="20"/>
                <w:szCs w:val="20"/>
              </w:rPr>
            </w:pPr>
            <w:r>
              <w:rPr>
                <w:rFonts w:ascii="Garamond" w:hAnsi="Garamond" w:cstheme="minorHAnsi"/>
                <w:b/>
                <w:bCs/>
                <w:noProof/>
                <w:sz w:val="20"/>
                <w:szCs w:val="20"/>
              </w:rPr>
              <w:t>FCEV Extended Range Transit Bus</w:t>
            </w:r>
          </w:p>
          <w:p w14:paraId="4FFCEBD4" w14:textId="39448954" w:rsidR="00AD4C97" w:rsidRDefault="006F662A" w:rsidP="00BC6A5E">
            <w:pPr>
              <w:widowControl w:val="0"/>
              <w:rPr>
                <w:rFonts w:ascii="Garamond" w:hAnsi="Garamond" w:cstheme="minorHAnsi"/>
                <w:b/>
                <w:bCs/>
                <w:noProof/>
                <w:sz w:val="20"/>
                <w:szCs w:val="20"/>
              </w:rPr>
            </w:pPr>
            <w:r>
              <w:rPr>
                <w:noProof/>
              </w:rPr>
              <w:drawing>
                <wp:anchor distT="0" distB="0" distL="114300" distR="114300" simplePos="0" relativeHeight="251658249" behindDoc="1" locked="0" layoutInCell="1" allowOverlap="1" wp14:anchorId="068F63F8" wp14:editId="1FEC74A0">
                  <wp:simplePos x="0" y="0"/>
                  <wp:positionH relativeFrom="column">
                    <wp:posOffset>33020</wp:posOffset>
                  </wp:positionH>
                  <wp:positionV relativeFrom="paragraph">
                    <wp:posOffset>122767</wp:posOffset>
                  </wp:positionV>
                  <wp:extent cx="574040" cy="574040"/>
                  <wp:effectExtent l="0" t="0" r="0" b="0"/>
                  <wp:wrapNone/>
                  <wp:docPr id="214" name="Picture 2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pic:nvPicPr>
                        <pic:blipFill>
                          <a:blip r:embed="rId19">
                            <a:extLst>
                              <a:ext uri="{28A0092B-C50C-407E-A947-70E740481C1C}">
                                <a14:useLocalDpi xmlns:a14="http://schemas.microsoft.com/office/drawing/2010/main" val="0"/>
                              </a:ext>
                            </a:extLst>
                          </a:blip>
                          <a:stretch>
                            <a:fillRect/>
                          </a:stretch>
                        </pic:blipFill>
                        <pic:spPr>
                          <a:xfrm>
                            <a:off x="0" y="0"/>
                            <a:ext cx="574040" cy="574040"/>
                          </a:xfrm>
                          <a:prstGeom prst="rect">
                            <a:avLst/>
                          </a:prstGeom>
                        </pic:spPr>
                      </pic:pic>
                    </a:graphicData>
                  </a:graphic>
                  <wp14:sizeRelH relativeFrom="page">
                    <wp14:pctWidth>0</wp14:pctWidth>
                  </wp14:sizeRelH>
                  <wp14:sizeRelV relativeFrom="page">
                    <wp14:pctHeight>0</wp14:pctHeight>
                  </wp14:sizeRelV>
                </wp:anchor>
              </w:drawing>
            </w:r>
          </w:p>
          <w:p w14:paraId="6A5C9BDD" w14:textId="32CAA217" w:rsidR="005253B6" w:rsidRPr="00052F8A" w:rsidRDefault="005253B6" w:rsidP="00BC6A5E">
            <w:pPr>
              <w:widowControl w:val="0"/>
              <w:rPr>
                <w:rFonts w:ascii="Garamond" w:hAnsi="Garamond" w:cstheme="minorHAnsi"/>
                <w:b/>
                <w:bCs/>
                <w:noProof/>
                <w:sz w:val="20"/>
                <w:szCs w:val="20"/>
              </w:rPr>
            </w:pPr>
            <w:r>
              <w:rPr>
                <w:noProof/>
              </w:rPr>
              <mc:AlternateContent>
                <mc:Choice Requires="wps">
                  <w:drawing>
                    <wp:inline distT="0" distB="0" distL="114300" distR="114300" wp14:anchorId="33F15631" wp14:editId="5F58BC45">
                      <wp:extent cx="599016" cy="592666"/>
                      <wp:effectExtent l="0" t="0" r="10795" b="17145"/>
                      <wp:docPr id="914564506" name="Oval 12"/>
                      <wp:cNvGraphicFramePr/>
                      <a:graphic xmlns:a="http://schemas.openxmlformats.org/drawingml/2006/main">
                        <a:graphicData uri="http://schemas.microsoft.com/office/word/2010/wordprocessingShape">
                          <wps:wsp>
                            <wps:cNvSpPr/>
                            <wps:spPr>
                              <a:xfrm>
                                <a:off x="0" y="0"/>
                                <a:ext cx="599016" cy="592666"/>
                              </a:xfrm>
                              <a:prstGeom prst="ellipse">
                                <a:avLst/>
                              </a:prstGeom>
                              <a:noFill/>
                              <a:ln w="19050">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715BC7" id="Oval 12" o:spid="_x0000_s1026" style="width:47.1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" filled="f" strokecolor="#365f91 [2404]" strokeweight="1.5pt">
                      <w10:anchorlock/>
                    </v:oval>
                  </w:pict>
                </mc:Fallback>
              </mc:AlternateContent>
            </w:r>
          </w:p>
        </w:tc>
        <w:tc>
          <w:tcPr>
            <w:tcW w:w="1749" w:type="dxa"/>
            <w:shd w:val="clear" w:color="auto" w:fill="auto"/>
            <w:tcMar>
              <w:top w:w="100" w:type="dxa"/>
              <w:left w:w="100" w:type="dxa"/>
              <w:bottom w:w="100" w:type="dxa"/>
              <w:right w:w="100" w:type="dxa"/>
            </w:tcMar>
          </w:tcPr>
          <w:p w14:paraId="7DD45B93" w14:textId="4810D03E" w:rsidR="00AD4C97" w:rsidRPr="00052F8A" w:rsidRDefault="00AD4C97" w:rsidP="00BC6A5E">
            <w:pPr>
              <w:widowControl w:val="0"/>
              <w:rPr>
                <w:rFonts w:ascii="Garamond" w:hAnsi="Garamond" w:cstheme="minorHAnsi"/>
                <w:sz w:val="20"/>
                <w:szCs w:val="20"/>
              </w:rPr>
            </w:pPr>
            <w:r>
              <w:rPr>
                <w:rFonts w:ascii="Garamond" w:hAnsi="Garamond" w:cstheme="minorHAnsi"/>
                <w:sz w:val="20"/>
                <w:szCs w:val="20"/>
              </w:rPr>
              <w:t>Passenger vehicle capable of routes longer than typical EV routes</w:t>
            </w:r>
          </w:p>
        </w:tc>
        <w:tc>
          <w:tcPr>
            <w:tcW w:w="875" w:type="dxa"/>
            <w:shd w:val="clear" w:color="auto" w:fill="auto"/>
            <w:tcMar>
              <w:top w:w="100" w:type="dxa"/>
              <w:left w:w="100" w:type="dxa"/>
              <w:bottom w:w="100" w:type="dxa"/>
              <w:right w:w="100" w:type="dxa"/>
            </w:tcMar>
          </w:tcPr>
          <w:p w14:paraId="56CA24FD" w14:textId="252B0313" w:rsidR="00AD4C97" w:rsidRPr="00052F8A" w:rsidRDefault="00AD4C97" w:rsidP="00BC6A5E">
            <w:pPr>
              <w:widowControl w:val="0"/>
              <w:rPr>
                <w:rFonts w:ascii="Garamond" w:hAnsi="Garamond" w:cstheme="minorHAnsi"/>
                <w:sz w:val="20"/>
                <w:szCs w:val="20"/>
              </w:rPr>
            </w:pPr>
            <w:r>
              <w:rPr>
                <w:rFonts w:ascii="Garamond" w:hAnsi="Garamond" w:cstheme="minorHAnsi"/>
                <w:sz w:val="20"/>
                <w:szCs w:val="20"/>
              </w:rPr>
              <w:t>Third</w:t>
            </w:r>
          </w:p>
        </w:tc>
        <w:tc>
          <w:tcPr>
            <w:tcW w:w="1170" w:type="dxa"/>
            <w:shd w:val="clear" w:color="auto" w:fill="auto"/>
            <w:tcMar>
              <w:top w:w="100" w:type="dxa"/>
              <w:left w:w="100" w:type="dxa"/>
              <w:bottom w:w="100" w:type="dxa"/>
              <w:right w:w="100" w:type="dxa"/>
            </w:tcMar>
          </w:tcPr>
          <w:p w14:paraId="23F9F13A" w14:textId="65BD44DF" w:rsidR="00AD4C97" w:rsidRPr="00052F8A" w:rsidRDefault="00AD4C97" w:rsidP="00BC6A5E">
            <w:pPr>
              <w:widowControl w:val="0"/>
              <w:rPr>
                <w:rFonts w:ascii="Garamond" w:hAnsi="Garamond" w:cstheme="minorHAnsi"/>
                <w:sz w:val="20"/>
                <w:szCs w:val="20"/>
              </w:rPr>
            </w:pPr>
            <w:r>
              <w:rPr>
                <w:rFonts w:ascii="Garamond" w:hAnsi="Garamond" w:cstheme="minorHAnsi"/>
                <w:sz w:val="20"/>
                <w:szCs w:val="20"/>
              </w:rPr>
              <w:t>N/A</w:t>
            </w:r>
          </w:p>
        </w:tc>
        <w:tc>
          <w:tcPr>
            <w:tcW w:w="1620" w:type="dxa"/>
            <w:shd w:val="clear" w:color="auto" w:fill="auto"/>
            <w:tcMar>
              <w:top w:w="100" w:type="dxa"/>
              <w:left w:w="100" w:type="dxa"/>
              <w:bottom w:w="100" w:type="dxa"/>
              <w:right w:w="100" w:type="dxa"/>
            </w:tcMar>
          </w:tcPr>
          <w:p w14:paraId="46A80673" w14:textId="2FF77653" w:rsidR="00AD4C97" w:rsidRPr="00052F8A" w:rsidRDefault="00AD4C97" w:rsidP="00BC6A5E">
            <w:pPr>
              <w:widowControl w:val="0"/>
              <w:rPr>
                <w:rFonts w:ascii="Garamond" w:hAnsi="Garamond" w:cstheme="minorHAnsi"/>
                <w:sz w:val="20"/>
                <w:szCs w:val="20"/>
              </w:rPr>
            </w:pPr>
            <w:r>
              <w:rPr>
                <w:rFonts w:ascii="Garamond" w:hAnsi="Garamond" w:cstheme="minorHAnsi"/>
                <w:sz w:val="20"/>
                <w:szCs w:val="20"/>
              </w:rPr>
              <w:t>Class 4-8</w:t>
            </w:r>
          </w:p>
        </w:tc>
        <w:tc>
          <w:tcPr>
            <w:tcW w:w="1284" w:type="dxa"/>
          </w:tcPr>
          <w:p w14:paraId="370C5573" w14:textId="0FC4F78A" w:rsidR="00AD4C97" w:rsidRPr="00052F8A" w:rsidRDefault="00BE2DD8" w:rsidP="00BC6A5E">
            <w:pPr>
              <w:widowControl w:val="0"/>
              <w:rPr>
                <w:rFonts w:ascii="Garamond" w:hAnsi="Garamond" w:cstheme="minorHAnsi"/>
                <w:sz w:val="20"/>
                <w:szCs w:val="20"/>
              </w:rPr>
            </w:pPr>
            <w:r>
              <w:rPr>
                <w:rFonts w:ascii="Garamond" w:hAnsi="Garamond" w:cstheme="minorHAnsi"/>
                <w:sz w:val="20"/>
                <w:szCs w:val="20"/>
              </w:rPr>
              <w:t>26</w:t>
            </w:r>
            <w:r w:rsidRPr="00052F8A">
              <w:rPr>
                <w:rFonts w:ascii="Garamond" w:hAnsi="Garamond" w:cstheme="minorHAnsi"/>
                <w:sz w:val="20"/>
                <w:szCs w:val="20"/>
              </w:rPr>
              <w:t xml:space="preserve">,000 -61,730 </w:t>
            </w:r>
            <w:proofErr w:type="spellStart"/>
            <w:r w:rsidRPr="00052F8A">
              <w:rPr>
                <w:rFonts w:ascii="Garamond" w:hAnsi="Garamond" w:cstheme="minorHAnsi"/>
                <w:sz w:val="20"/>
                <w:szCs w:val="20"/>
              </w:rPr>
              <w:t>lbs</w:t>
            </w:r>
            <w:proofErr w:type="spellEnd"/>
            <w:r w:rsidRPr="00052F8A">
              <w:rPr>
                <w:rFonts w:ascii="Garamond" w:hAnsi="Garamond" w:cstheme="minorHAnsi"/>
                <w:sz w:val="20"/>
                <w:szCs w:val="20"/>
              </w:rPr>
              <w:t xml:space="preserve"> / </w:t>
            </w:r>
            <w:r>
              <w:rPr>
                <w:rFonts w:ascii="Garamond" w:hAnsi="Garamond" w:cstheme="minorHAnsi"/>
                <w:sz w:val="20"/>
                <w:szCs w:val="20"/>
              </w:rPr>
              <w:t xml:space="preserve">11,800 </w:t>
            </w:r>
            <w:r w:rsidRPr="00052F8A">
              <w:rPr>
                <w:rFonts w:ascii="Garamond" w:hAnsi="Garamond" w:cstheme="minorHAnsi"/>
                <w:sz w:val="20"/>
                <w:szCs w:val="20"/>
              </w:rPr>
              <w:t>-28,000 kg</w:t>
            </w:r>
          </w:p>
        </w:tc>
        <w:tc>
          <w:tcPr>
            <w:tcW w:w="1284" w:type="dxa"/>
            <w:shd w:val="clear" w:color="auto" w:fill="auto"/>
            <w:tcMar>
              <w:top w:w="100" w:type="dxa"/>
              <w:left w:w="100" w:type="dxa"/>
              <w:bottom w:w="100" w:type="dxa"/>
              <w:right w:w="100" w:type="dxa"/>
            </w:tcMar>
          </w:tcPr>
          <w:p w14:paraId="6F36F74A" w14:textId="65599826" w:rsidR="00AD4C97" w:rsidRPr="00052F8A" w:rsidRDefault="00AD4C97" w:rsidP="00BC6A5E">
            <w:pPr>
              <w:widowControl w:val="0"/>
              <w:rPr>
                <w:rFonts w:ascii="Garamond" w:hAnsi="Garamond" w:cstheme="minorHAnsi"/>
                <w:sz w:val="20"/>
                <w:szCs w:val="20"/>
              </w:rPr>
            </w:pPr>
            <w:r>
              <w:rPr>
                <w:rFonts w:ascii="Garamond" w:hAnsi="Garamond" w:cstheme="minorHAnsi"/>
                <w:sz w:val="20"/>
                <w:szCs w:val="20"/>
              </w:rPr>
              <w:t>Depot</w:t>
            </w:r>
          </w:p>
        </w:tc>
      </w:tr>
      <w:tr w:rsidR="00AD4C97" w:rsidRPr="00075CE6" w14:paraId="4E0CB1AE" w14:textId="77777777" w:rsidTr="61573DFA">
        <w:tc>
          <w:tcPr>
            <w:tcW w:w="1326" w:type="dxa"/>
            <w:shd w:val="clear" w:color="auto" w:fill="auto"/>
            <w:tcMar>
              <w:top w:w="100" w:type="dxa"/>
              <w:left w:w="100" w:type="dxa"/>
              <w:bottom w:w="100" w:type="dxa"/>
              <w:right w:w="100" w:type="dxa"/>
            </w:tcMar>
          </w:tcPr>
          <w:p w14:paraId="1A87C18D" w14:textId="5C168DBC" w:rsidR="00AD4C97" w:rsidRDefault="00AD4C97" w:rsidP="008854AA">
            <w:pPr>
              <w:widowControl w:val="0"/>
              <w:rPr>
                <w:rFonts w:ascii="Garamond" w:hAnsi="Garamond" w:cstheme="minorBidi"/>
                <w:b/>
                <w:bCs/>
                <w:sz w:val="20"/>
                <w:szCs w:val="20"/>
              </w:rPr>
            </w:pPr>
            <w:r w:rsidRPr="00052F8A">
              <w:rPr>
                <w:rFonts w:ascii="Garamond" w:hAnsi="Garamond" w:cstheme="minorBidi"/>
                <w:b/>
                <w:bCs/>
                <w:sz w:val="20"/>
                <w:szCs w:val="20"/>
              </w:rPr>
              <w:t>Drayage</w:t>
            </w:r>
            <w:r>
              <w:rPr>
                <w:rFonts w:ascii="Garamond" w:hAnsi="Garamond" w:cstheme="minorBidi"/>
                <w:b/>
                <w:bCs/>
                <w:sz w:val="20"/>
                <w:szCs w:val="20"/>
              </w:rPr>
              <w:t xml:space="preserve"> Truck</w:t>
            </w:r>
          </w:p>
          <w:p w14:paraId="2CD01C95" w14:textId="59D77998" w:rsidR="00AD4C97" w:rsidRPr="00041F28" w:rsidRDefault="006F662A" w:rsidP="008854AA">
            <w:pPr>
              <w:widowControl w:val="0"/>
              <w:rPr>
                <w:rFonts w:ascii="Garamond" w:hAnsi="Garamond" w:cstheme="minorHAnsi"/>
                <w:sz w:val="20"/>
                <w:szCs w:val="20"/>
              </w:rPr>
            </w:pPr>
            <w:r>
              <w:rPr>
                <w:noProof/>
              </w:rPr>
              <w:drawing>
                <wp:anchor distT="0" distB="0" distL="114300" distR="114300" simplePos="0" relativeHeight="251658250" behindDoc="1" locked="0" layoutInCell="1" allowOverlap="1" wp14:anchorId="27752EC0" wp14:editId="1CE0A774">
                  <wp:simplePos x="0" y="0"/>
                  <wp:positionH relativeFrom="column">
                    <wp:posOffset>33443</wp:posOffset>
                  </wp:positionH>
                  <wp:positionV relativeFrom="paragraph">
                    <wp:posOffset>3387</wp:posOffset>
                  </wp:positionV>
                  <wp:extent cx="573405" cy="573405"/>
                  <wp:effectExtent l="0" t="0" r="0" b="0"/>
                  <wp:wrapNone/>
                  <wp:docPr id="215" name="Picture 2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20">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page">
                    <wp14:pctWidth>0</wp14:pctWidth>
                  </wp14:sizeRelH>
                  <wp14:sizeRelV relativeFrom="page">
                    <wp14:pctHeight>0</wp14:pctHeight>
                  </wp14:sizeRelV>
                </wp:anchor>
              </w:drawing>
            </w:r>
            <w:r w:rsidR="005253B6">
              <w:rPr>
                <w:noProof/>
              </w:rPr>
              <mc:AlternateContent>
                <mc:Choice Requires="wps">
                  <w:drawing>
                    <wp:inline distT="0" distB="0" distL="114300" distR="114300" wp14:anchorId="343CA3F6" wp14:editId="2A1542F0">
                      <wp:extent cx="599016" cy="592666"/>
                      <wp:effectExtent l="0" t="0" r="10795" b="17145"/>
                      <wp:docPr id="712889419" name="Oval 13"/>
                      <wp:cNvGraphicFramePr/>
                      <a:graphic xmlns:a="http://schemas.openxmlformats.org/drawingml/2006/main">
                        <a:graphicData uri="http://schemas.microsoft.com/office/word/2010/wordprocessingShape">
                          <wps:wsp>
                            <wps:cNvSpPr/>
                            <wps:spPr>
                              <a:xfrm>
                                <a:off x="0" y="0"/>
                                <a:ext cx="599016" cy="592666"/>
                              </a:xfrm>
                              <a:prstGeom prst="ellipse">
                                <a:avLst/>
                              </a:prstGeom>
                              <a:noFill/>
                              <a:ln w="19050">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54D6B4" id="Oval 13" o:spid="_x0000_s1026" style="width:47.1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" filled="f" strokecolor="#365f91 [2404]" strokeweight="1.5pt">
                      <w10:anchorlock/>
                    </v:oval>
                  </w:pict>
                </mc:Fallback>
              </mc:AlternateContent>
            </w:r>
          </w:p>
        </w:tc>
        <w:tc>
          <w:tcPr>
            <w:tcW w:w="1749" w:type="dxa"/>
            <w:shd w:val="clear" w:color="auto" w:fill="auto"/>
            <w:tcMar>
              <w:top w:w="100" w:type="dxa"/>
              <w:left w:w="100" w:type="dxa"/>
              <w:bottom w:w="100" w:type="dxa"/>
              <w:right w:w="100" w:type="dxa"/>
            </w:tcMar>
          </w:tcPr>
          <w:p w14:paraId="46E54849" w14:textId="47BDDFE5" w:rsidR="00AD4C97" w:rsidRPr="00052F8A" w:rsidRDefault="00AD4C97" w:rsidP="008854AA">
            <w:pPr>
              <w:widowControl w:val="0"/>
              <w:rPr>
                <w:rFonts w:ascii="Garamond" w:hAnsi="Garamond" w:cstheme="minorHAnsi"/>
                <w:sz w:val="20"/>
                <w:szCs w:val="20"/>
              </w:rPr>
            </w:pPr>
            <w:r w:rsidRPr="00052F8A">
              <w:rPr>
                <w:rFonts w:ascii="Garamond" w:hAnsi="Garamond" w:cstheme="minorHAnsi"/>
                <w:sz w:val="20"/>
                <w:szCs w:val="20"/>
              </w:rPr>
              <w:t>Cargo vehicle with predictable routes that transports goods between ports to warehouses</w:t>
            </w:r>
          </w:p>
        </w:tc>
        <w:tc>
          <w:tcPr>
            <w:tcW w:w="875" w:type="dxa"/>
            <w:shd w:val="clear" w:color="auto" w:fill="auto"/>
            <w:tcMar>
              <w:top w:w="100" w:type="dxa"/>
              <w:left w:w="100" w:type="dxa"/>
              <w:bottom w:w="100" w:type="dxa"/>
              <w:right w:w="100" w:type="dxa"/>
            </w:tcMar>
          </w:tcPr>
          <w:p w14:paraId="6512EF49" w14:textId="32FE4863" w:rsidR="00AD4C97" w:rsidRPr="00052F8A" w:rsidRDefault="00AD4C97" w:rsidP="008854AA">
            <w:pPr>
              <w:widowControl w:val="0"/>
              <w:rPr>
                <w:rFonts w:ascii="Garamond" w:hAnsi="Garamond" w:cstheme="minorHAnsi"/>
                <w:sz w:val="20"/>
                <w:szCs w:val="20"/>
              </w:rPr>
            </w:pPr>
            <w:r>
              <w:rPr>
                <w:rFonts w:ascii="Garamond" w:hAnsi="Garamond" w:cstheme="minorHAnsi"/>
                <w:sz w:val="20"/>
                <w:szCs w:val="20"/>
              </w:rPr>
              <w:t>Fourth</w:t>
            </w:r>
          </w:p>
        </w:tc>
        <w:tc>
          <w:tcPr>
            <w:tcW w:w="1170" w:type="dxa"/>
            <w:shd w:val="clear" w:color="auto" w:fill="auto"/>
            <w:tcMar>
              <w:top w:w="100" w:type="dxa"/>
              <w:left w:w="100" w:type="dxa"/>
              <w:bottom w:w="100" w:type="dxa"/>
              <w:right w:w="100" w:type="dxa"/>
            </w:tcMar>
          </w:tcPr>
          <w:p w14:paraId="2272AA66" w14:textId="7BA07F5E" w:rsidR="00AD4C97" w:rsidRPr="00052F8A" w:rsidRDefault="00AD4C97" w:rsidP="008854AA">
            <w:pPr>
              <w:widowControl w:val="0"/>
              <w:rPr>
                <w:rFonts w:ascii="Garamond" w:hAnsi="Garamond" w:cstheme="minorHAnsi"/>
                <w:sz w:val="20"/>
                <w:szCs w:val="20"/>
              </w:rPr>
            </w:pPr>
            <w:r w:rsidRPr="00052F8A">
              <w:rPr>
                <w:rFonts w:ascii="Garamond" w:hAnsi="Garamond" w:cstheme="minorHAnsi"/>
                <w:sz w:val="20"/>
                <w:szCs w:val="20"/>
              </w:rPr>
              <w:t>238 miles / 383 km</w:t>
            </w:r>
          </w:p>
        </w:tc>
        <w:tc>
          <w:tcPr>
            <w:tcW w:w="1620" w:type="dxa"/>
            <w:shd w:val="clear" w:color="auto" w:fill="auto"/>
            <w:tcMar>
              <w:top w:w="100" w:type="dxa"/>
              <w:left w:w="100" w:type="dxa"/>
              <w:bottom w:w="100" w:type="dxa"/>
              <w:right w:w="100" w:type="dxa"/>
            </w:tcMar>
          </w:tcPr>
          <w:p w14:paraId="23FFCD98" w14:textId="30267073" w:rsidR="00AD4C97" w:rsidRPr="00052F8A" w:rsidRDefault="00AD4C97" w:rsidP="008854AA">
            <w:pPr>
              <w:widowControl w:val="0"/>
              <w:rPr>
                <w:rFonts w:ascii="Garamond" w:hAnsi="Garamond" w:cstheme="minorHAnsi"/>
                <w:sz w:val="20"/>
                <w:szCs w:val="20"/>
              </w:rPr>
            </w:pPr>
            <w:r w:rsidRPr="00052F8A">
              <w:rPr>
                <w:rFonts w:ascii="Garamond" w:hAnsi="Garamond" w:cstheme="minorHAnsi"/>
                <w:sz w:val="20"/>
                <w:szCs w:val="20"/>
              </w:rPr>
              <w:t>Class 7-8</w:t>
            </w:r>
          </w:p>
        </w:tc>
        <w:tc>
          <w:tcPr>
            <w:tcW w:w="1284" w:type="dxa"/>
          </w:tcPr>
          <w:p w14:paraId="4EAE6206" w14:textId="04A08A0C" w:rsidR="00AD4C97" w:rsidRPr="00052F8A" w:rsidRDefault="00AD4C97" w:rsidP="008854AA">
            <w:pPr>
              <w:widowControl w:val="0"/>
              <w:rPr>
                <w:rFonts w:ascii="Garamond" w:hAnsi="Garamond" w:cstheme="minorHAnsi"/>
                <w:sz w:val="20"/>
                <w:szCs w:val="20"/>
              </w:rPr>
            </w:pPr>
            <w:r w:rsidRPr="00052F8A">
              <w:rPr>
                <w:rFonts w:ascii="Garamond" w:hAnsi="Garamond" w:cstheme="minorHAnsi"/>
                <w:sz w:val="20"/>
                <w:szCs w:val="20"/>
              </w:rPr>
              <w:t xml:space="preserve">44,000-110,000 </w:t>
            </w:r>
            <w:proofErr w:type="spellStart"/>
            <w:r w:rsidRPr="00052F8A">
              <w:rPr>
                <w:rFonts w:ascii="Garamond" w:hAnsi="Garamond" w:cstheme="minorHAnsi"/>
                <w:sz w:val="20"/>
                <w:szCs w:val="20"/>
              </w:rPr>
              <w:t>lbs</w:t>
            </w:r>
            <w:proofErr w:type="spellEnd"/>
            <w:r w:rsidRPr="00052F8A">
              <w:rPr>
                <w:rFonts w:ascii="Garamond" w:hAnsi="Garamond" w:cstheme="minorHAnsi"/>
                <w:sz w:val="20"/>
                <w:szCs w:val="20"/>
              </w:rPr>
              <w:t xml:space="preserve"> / 19,960 -49,895 kg</w:t>
            </w:r>
          </w:p>
        </w:tc>
        <w:tc>
          <w:tcPr>
            <w:tcW w:w="1284" w:type="dxa"/>
            <w:shd w:val="clear" w:color="auto" w:fill="auto"/>
            <w:tcMar>
              <w:top w:w="100" w:type="dxa"/>
              <w:left w:w="100" w:type="dxa"/>
              <w:bottom w:w="100" w:type="dxa"/>
              <w:right w:w="100" w:type="dxa"/>
            </w:tcMar>
          </w:tcPr>
          <w:p w14:paraId="277EFF16" w14:textId="7193A964" w:rsidR="00AD4C97" w:rsidRPr="00052F8A" w:rsidRDefault="00AD4C97" w:rsidP="008854AA">
            <w:pPr>
              <w:widowControl w:val="0"/>
              <w:rPr>
                <w:rFonts w:ascii="Garamond" w:hAnsi="Garamond" w:cstheme="minorHAnsi"/>
                <w:sz w:val="20"/>
                <w:szCs w:val="20"/>
              </w:rPr>
            </w:pPr>
            <w:r w:rsidRPr="00052F8A">
              <w:rPr>
                <w:rFonts w:ascii="Garamond" w:hAnsi="Garamond" w:cstheme="minorHAnsi"/>
                <w:sz w:val="20"/>
                <w:szCs w:val="20"/>
              </w:rPr>
              <w:t xml:space="preserve">Depot, </w:t>
            </w:r>
            <w:r>
              <w:rPr>
                <w:rFonts w:ascii="Garamond" w:hAnsi="Garamond" w:cstheme="minorHAnsi"/>
                <w:sz w:val="20"/>
                <w:szCs w:val="20"/>
              </w:rPr>
              <w:t xml:space="preserve">Opportunity, </w:t>
            </w:r>
            <w:r w:rsidRPr="00052F8A">
              <w:rPr>
                <w:rFonts w:ascii="Garamond" w:hAnsi="Garamond" w:cstheme="minorHAnsi"/>
                <w:sz w:val="20"/>
                <w:szCs w:val="20"/>
              </w:rPr>
              <w:t>On-Route</w:t>
            </w:r>
          </w:p>
        </w:tc>
      </w:tr>
      <w:tr w:rsidR="00256802" w:rsidRPr="00075CE6" w14:paraId="6A09B97A" w14:textId="77777777" w:rsidTr="61573DFA">
        <w:tc>
          <w:tcPr>
            <w:tcW w:w="1326" w:type="dxa"/>
            <w:shd w:val="clear" w:color="auto" w:fill="auto"/>
            <w:tcMar>
              <w:top w:w="100" w:type="dxa"/>
              <w:left w:w="100" w:type="dxa"/>
              <w:bottom w:w="100" w:type="dxa"/>
              <w:right w:w="100" w:type="dxa"/>
            </w:tcMar>
          </w:tcPr>
          <w:p w14:paraId="16F94EB9" w14:textId="77777777" w:rsidR="00256802" w:rsidRDefault="00256802" w:rsidP="00256802">
            <w:pPr>
              <w:widowControl w:val="0"/>
              <w:rPr>
                <w:rFonts w:ascii="Garamond" w:hAnsi="Garamond" w:cstheme="minorHAnsi"/>
                <w:b/>
                <w:bCs/>
                <w:noProof/>
                <w:sz w:val="20"/>
                <w:szCs w:val="20"/>
              </w:rPr>
            </w:pPr>
            <w:r>
              <w:rPr>
                <w:rFonts w:ascii="Garamond" w:hAnsi="Garamond" w:cstheme="minorHAnsi"/>
                <w:b/>
                <w:bCs/>
                <w:noProof/>
                <w:sz w:val="20"/>
                <w:szCs w:val="20"/>
              </w:rPr>
              <w:t>HD Regional Truck</w:t>
            </w:r>
          </w:p>
          <w:p w14:paraId="59730981" w14:textId="5B01C973" w:rsidR="00256802" w:rsidRPr="00052F8A" w:rsidRDefault="00256802" w:rsidP="00256802">
            <w:pPr>
              <w:widowControl w:val="0"/>
              <w:rPr>
                <w:rFonts w:ascii="Garamond" w:hAnsi="Garamond" w:cstheme="minorHAnsi"/>
                <w:b/>
                <w:bCs/>
                <w:noProof/>
                <w:sz w:val="20"/>
                <w:szCs w:val="20"/>
              </w:rPr>
            </w:pPr>
            <w:r>
              <w:rPr>
                <w:noProof/>
              </w:rPr>
              <w:drawing>
                <wp:inline distT="0" distB="0" distL="0" distR="0" wp14:anchorId="5CAF6CDD" wp14:editId="6EB43552">
                  <wp:extent cx="593090" cy="5930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593090" cy="593090"/>
                          </a:xfrm>
                          <a:prstGeom prst="rect">
                            <a:avLst/>
                          </a:prstGeom>
                        </pic:spPr>
                      </pic:pic>
                    </a:graphicData>
                  </a:graphic>
                </wp:inline>
              </w:drawing>
            </w:r>
          </w:p>
        </w:tc>
        <w:tc>
          <w:tcPr>
            <w:tcW w:w="1749" w:type="dxa"/>
            <w:shd w:val="clear" w:color="auto" w:fill="auto"/>
            <w:tcMar>
              <w:top w:w="100" w:type="dxa"/>
              <w:left w:w="100" w:type="dxa"/>
              <w:bottom w:w="100" w:type="dxa"/>
              <w:right w:w="100" w:type="dxa"/>
            </w:tcMar>
          </w:tcPr>
          <w:p w14:paraId="2D40859D" w14:textId="58FEDAB0" w:rsidR="00256802" w:rsidRPr="00052F8A" w:rsidRDefault="00256802" w:rsidP="00256802">
            <w:pPr>
              <w:widowControl w:val="0"/>
              <w:rPr>
                <w:rFonts w:ascii="Garamond" w:hAnsi="Garamond" w:cstheme="minorHAnsi"/>
                <w:sz w:val="20"/>
                <w:szCs w:val="20"/>
              </w:rPr>
            </w:pPr>
            <w:r>
              <w:rPr>
                <w:rFonts w:ascii="Garamond" w:hAnsi="Garamond" w:cstheme="minorHAnsi"/>
                <w:sz w:val="20"/>
                <w:szCs w:val="20"/>
              </w:rPr>
              <w:t>Cargo vehicle with open, unpredictable routes that operates within one geographic region</w:t>
            </w:r>
          </w:p>
        </w:tc>
        <w:tc>
          <w:tcPr>
            <w:tcW w:w="875" w:type="dxa"/>
            <w:shd w:val="clear" w:color="auto" w:fill="auto"/>
            <w:tcMar>
              <w:top w:w="100" w:type="dxa"/>
              <w:left w:w="100" w:type="dxa"/>
              <w:bottom w:w="100" w:type="dxa"/>
              <w:right w:w="100" w:type="dxa"/>
            </w:tcMar>
          </w:tcPr>
          <w:p w14:paraId="1F529328" w14:textId="55871B02" w:rsidR="00256802" w:rsidRPr="00052F8A" w:rsidRDefault="00256802" w:rsidP="00256802">
            <w:pPr>
              <w:widowControl w:val="0"/>
              <w:rPr>
                <w:rFonts w:ascii="Garamond" w:hAnsi="Garamond" w:cstheme="minorHAnsi"/>
                <w:sz w:val="20"/>
                <w:szCs w:val="20"/>
              </w:rPr>
            </w:pPr>
            <w:r>
              <w:rPr>
                <w:rFonts w:ascii="Garamond" w:hAnsi="Garamond" w:cstheme="minorHAnsi"/>
                <w:sz w:val="20"/>
                <w:szCs w:val="20"/>
              </w:rPr>
              <w:t>Fourth</w:t>
            </w:r>
          </w:p>
        </w:tc>
        <w:tc>
          <w:tcPr>
            <w:tcW w:w="1170" w:type="dxa"/>
            <w:shd w:val="clear" w:color="auto" w:fill="auto"/>
            <w:tcMar>
              <w:top w:w="100" w:type="dxa"/>
              <w:left w:w="100" w:type="dxa"/>
              <w:bottom w:w="100" w:type="dxa"/>
              <w:right w:w="100" w:type="dxa"/>
            </w:tcMar>
          </w:tcPr>
          <w:p w14:paraId="3DE42512" w14:textId="1233A07B" w:rsidR="00256802" w:rsidRPr="00052F8A" w:rsidRDefault="00256802" w:rsidP="00256802">
            <w:pPr>
              <w:widowControl w:val="0"/>
              <w:rPr>
                <w:rFonts w:ascii="Garamond" w:hAnsi="Garamond" w:cstheme="minorHAnsi"/>
                <w:sz w:val="20"/>
                <w:szCs w:val="20"/>
              </w:rPr>
            </w:pPr>
            <w:r>
              <w:rPr>
                <w:rFonts w:ascii="Garamond" w:hAnsi="Garamond" w:cstheme="minorHAnsi"/>
                <w:sz w:val="20"/>
                <w:szCs w:val="20"/>
              </w:rPr>
              <w:t>172</w:t>
            </w:r>
            <w:r w:rsidRPr="00052F8A">
              <w:rPr>
                <w:rFonts w:ascii="Garamond" w:hAnsi="Garamond" w:cstheme="minorHAnsi"/>
                <w:sz w:val="20"/>
                <w:szCs w:val="20"/>
              </w:rPr>
              <w:t xml:space="preserve"> miles / </w:t>
            </w:r>
            <w:r>
              <w:rPr>
                <w:rFonts w:ascii="Garamond" w:hAnsi="Garamond" w:cstheme="minorHAnsi"/>
                <w:sz w:val="20"/>
                <w:szCs w:val="20"/>
              </w:rPr>
              <w:t>277</w:t>
            </w:r>
            <w:r w:rsidRPr="00052F8A">
              <w:rPr>
                <w:rFonts w:ascii="Garamond" w:hAnsi="Garamond" w:cstheme="minorHAnsi"/>
                <w:sz w:val="20"/>
                <w:szCs w:val="20"/>
              </w:rPr>
              <w:t xml:space="preserve"> km</w:t>
            </w:r>
          </w:p>
        </w:tc>
        <w:tc>
          <w:tcPr>
            <w:tcW w:w="1620" w:type="dxa"/>
            <w:shd w:val="clear" w:color="auto" w:fill="auto"/>
            <w:tcMar>
              <w:top w:w="100" w:type="dxa"/>
              <w:left w:w="100" w:type="dxa"/>
              <w:bottom w:w="100" w:type="dxa"/>
              <w:right w:w="100" w:type="dxa"/>
            </w:tcMar>
          </w:tcPr>
          <w:p w14:paraId="746EFE93" w14:textId="29E465BB" w:rsidR="00256802" w:rsidRPr="00052F8A" w:rsidRDefault="00256802" w:rsidP="00256802">
            <w:pPr>
              <w:widowControl w:val="0"/>
              <w:rPr>
                <w:rFonts w:ascii="Garamond" w:hAnsi="Garamond" w:cstheme="minorHAnsi"/>
                <w:sz w:val="20"/>
                <w:szCs w:val="20"/>
              </w:rPr>
            </w:pPr>
            <w:r>
              <w:rPr>
                <w:rFonts w:ascii="Garamond" w:hAnsi="Garamond" w:cstheme="minorHAnsi"/>
                <w:sz w:val="20"/>
                <w:szCs w:val="20"/>
              </w:rPr>
              <w:t>Class 7-8</w:t>
            </w:r>
          </w:p>
        </w:tc>
        <w:tc>
          <w:tcPr>
            <w:tcW w:w="1284" w:type="dxa"/>
          </w:tcPr>
          <w:p w14:paraId="612941D7" w14:textId="252D3B7E" w:rsidR="00256802" w:rsidRPr="00052F8A" w:rsidRDefault="00256802" w:rsidP="00256802">
            <w:pPr>
              <w:widowControl w:val="0"/>
              <w:rPr>
                <w:rFonts w:ascii="Garamond" w:hAnsi="Garamond" w:cstheme="minorHAnsi"/>
                <w:sz w:val="20"/>
                <w:szCs w:val="20"/>
              </w:rPr>
            </w:pPr>
            <w:r w:rsidRPr="00C34E3C">
              <w:rPr>
                <w:rFonts w:ascii="Garamond" w:hAnsi="Garamond" w:cstheme="minorHAnsi"/>
                <w:sz w:val="20"/>
                <w:szCs w:val="20"/>
              </w:rPr>
              <w:t>30,864 – 97,00</w:t>
            </w:r>
            <w:r>
              <w:rPr>
                <w:rFonts w:ascii="Garamond" w:hAnsi="Garamond" w:cstheme="minorHAnsi"/>
                <w:sz w:val="20"/>
                <w:szCs w:val="20"/>
              </w:rPr>
              <w:t>0</w:t>
            </w:r>
            <w:r w:rsidRPr="00C34E3C">
              <w:rPr>
                <w:rFonts w:ascii="Garamond" w:hAnsi="Garamond" w:cstheme="minorHAnsi"/>
                <w:sz w:val="20"/>
                <w:szCs w:val="20"/>
              </w:rPr>
              <w:t xml:space="preserve"> </w:t>
            </w:r>
            <w:proofErr w:type="spellStart"/>
            <w:r w:rsidRPr="00C34E3C">
              <w:rPr>
                <w:rFonts w:ascii="Garamond" w:hAnsi="Garamond" w:cstheme="minorHAnsi"/>
                <w:sz w:val="20"/>
                <w:szCs w:val="20"/>
              </w:rPr>
              <w:t>lbs</w:t>
            </w:r>
            <w:proofErr w:type="spellEnd"/>
            <w:r>
              <w:rPr>
                <w:rFonts w:ascii="Garamond" w:hAnsi="Garamond" w:cstheme="minorHAnsi"/>
                <w:sz w:val="20"/>
                <w:szCs w:val="20"/>
              </w:rPr>
              <w:t xml:space="preserve"> / 14,000 – 44,000 kg</w:t>
            </w:r>
          </w:p>
        </w:tc>
        <w:tc>
          <w:tcPr>
            <w:tcW w:w="1284" w:type="dxa"/>
            <w:shd w:val="clear" w:color="auto" w:fill="auto"/>
            <w:tcMar>
              <w:top w:w="100" w:type="dxa"/>
              <w:left w:w="100" w:type="dxa"/>
              <w:bottom w:w="100" w:type="dxa"/>
              <w:right w:w="100" w:type="dxa"/>
            </w:tcMar>
          </w:tcPr>
          <w:p w14:paraId="06CFB970" w14:textId="23EE32E5" w:rsidR="00256802" w:rsidRPr="00052F8A" w:rsidRDefault="00256802" w:rsidP="00256802">
            <w:pPr>
              <w:widowControl w:val="0"/>
              <w:rPr>
                <w:rFonts w:ascii="Garamond" w:hAnsi="Garamond" w:cstheme="minorHAnsi"/>
                <w:sz w:val="20"/>
                <w:szCs w:val="20"/>
              </w:rPr>
            </w:pPr>
            <w:r>
              <w:rPr>
                <w:rFonts w:ascii="Garamond" w:hAnsi="Garamond" w:cstheme="minorHAnsi"/>
                <w:sz w:val="20"/>
                <w:szCs w:val="20"/>
              </w:rPr>
              <w:t>Depot, Opportunity, On-Route</w:t>
            </w:r>
          </w:p>
        </w:tc>
      </w:tr>
      <w:tr w:rsidR="00256802" w:rsidRPr="00075CE6" w14:paraId="209BF7A4" w14:textId="77777777" w:rsidTr="61573DFA">
        <w:tc>
          <w:tcPr>
            <w:tcW w:w="1326" w:type="dxa"/>
            <w:shd w:val="clear" w:color="auto" w:fill="auto"/>
            <w:tcMar>
              <w:top w:w="100" w:type="dxa"/>
              <w:left w:w="100" w:type="dxa"/>
              <w:bottom w:w="100" w:type="dxa"/>
              <w:right w:w="100" w:type="dxa"/>
            </w:tcMar>
          </w:tcPr>
          <w:p w14:paraId="04CB689D" w14:textId="77777777" w:rsidR="00256802" w:rsidRDefault="00256802" w:rsidP="00256802">
            <w:pPr>
              <w:widowControl w:val="0"/>
              <w:rPr>
                <w:rFonts w:ascii="Garamond" w:hAnsi="Garamond" w:cstheme="minorHAnsi"/>
                <w:b/>
                <w:bCs/>
                <w:noProof/>
                <w:sz w:val="20"/>
                <w:szCs w:val="20"/>
              </w:rPr>
            </w:pPr>
            <w:r>
              <w:rPr>
                <w:rFonts w:ascii="Garamond" w:hAnsi="Garamond" w:cstheme="minorHAnsi"/>
                <w:b/>
                <w:bCs/>
                <w:noProof/>
                <w:sz w:val="20"/>
                <w:szCs w:val="20"/>
              </w:rPr>
              <w:t>Refuse Truck</w:t>
            </w:r>
          </w:p>
          <w:p w14:paraId="0C4035D6" w14:textId="635049F7" w:rsidR="00256802" w:rsidRDefault="0ADCE4CF" w:rsidP="00256802">
            <w:pPr>
              <w:widowControl w:val="0"/>
              <w:rPr>
                <w:rFonts w:ascii="Garamond" w:hAnsi="Garamond" w:cstheme="minorHAnsi"/>
                <w:b/>
                <w:bCs/>
                <w:noProof/>
                <w:sz w:val="20"/>
                <w:szCs w:val="20"/>
              </w:rPr>
            </w:pPr>
            <w:r>
              <w:rPr>
                <w:noProof/>
              </w:rPr>
              <w:drawing>
                <wp:inline distT="0" distB="0" distL="0" distR="0" wp14:anchorId="6B9FFAD9" wp14:editId="276D90D2">
                  <wp:extent cx="646430" cy="64643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6430" cy="646430"/>
                          </a:xfrm>
                          <a:prstGeom prst="rect">
                            <a:avLst/>
                          </a:prstGeom>
                        </pic:spPr>
                      </pic:pic>
                    </a:graphicData>
                  </a:graphic>
                </wp:inline>
              </w:drawing>
            </w:r>
          </w:p>
        </w:tc>
        <w:tc>
          <w:tcPr>
            <w:tcW w:w="1749" w:type="dxa"/>
            <w:shd w:val="clear" w:color="auto" w:fill="auto"/>
            <w:tcMar>
              <w:top w:w="100" w:type="dxa"/>
              <w:left w:w="100" w:type="dxa"/>
              <w:bottom w:w="100" w:type="dxa"/>
              <w:right w:w="100" w:type="dxa"/>
            </w:tcMar>
          </w:tcPr>
          <w:p w14:paraId="165E0FE3" w14:textId="0C989639" w:rsidR="00256802" w:rsidRPr="00052F8A" w:rsidRDefault="00256802" w:rsidP="00256802">
            <w:pPr>
              <w:widowControl w:val="0"/>
              <w:rPr>
                <w:rFonts w:ascii="Garamond" w:hAnsi="Garamond" w:cstheme="minorHAnsi"/>
                <w:sz w:val="20"/>
                <w:szCs w:val="20"/>
              </w:rPr>
            </w:pPr>
            <w:r>
              <w:rPr>
                <w:rFonts w:ascii="Garamond" w:hAnsi="Garamond" w:cstheme="minorHAnsi"/>
                <w:sz w:val="20"/>
                <w:szCs w:val="20"/>
              </w:rPr>
              <w:t>Work truck that operates on fixed routes to collect waste</w:t>
            </w:r>
          </w:p>
        </w:tc>
        <w:tc>
          <w:tcPr>
            <w:tcW w:w="875" w:type="dxa"/>
            <w:shd w:val="clear" w:color="auto" w:fill="auto"/>
            <w:tcMar>
              <w:top w:w="100" w:type="dxa"/>
              <w:left w:w="100" w:type="dxa"/>
              <w:bottom w:w="100" w:type="dxa"/>
              <w:right w:w="100" w:type="dxa"/>
            </w:tcMar>
          </w:tcPr>
          <w:p w14:paraId="31943355" w14:textId="49281F47" w:rsidR="00256802" w:rsidRDefault="00256802" w:rsidP="00256802">
            <w:pPr>
              <w:widowControl w:val="0"/>
              <w:rPr>
                <w:rFonts w:ascii="Garamond" w:hAnsi="Garamond" w:cstheme="minorHAnsi"/>
                <w:sz w:val="20"/>
                <w:szCs w:val="20"/>
              </w:rPr>
            </w:pPr>
            <w:r>
              <w:rPr>
                <w:rFonts w:ascii="Garamond" w:hAnsi="Garamond" w:cstheme="minorHAnsi"/>
                <w:sz w:val="20"/>
                <w:szCs w:val="20"/>
              </w:rPr>
              <w:t>Fourth</w:t>
            </w:r>
          </w:p>
        </w:tc>
        <w:tc>
          <w:tcPr>
            <w:tcW w:w="1170" w:type="dxa"/>
            <w:shd w:val="clear" w:color="auto" w:fill="auto"/>
            <w:tcMar>
              <w:top w:w="100" w:type="dxa"/>
              <w:left w:w="100" w:type="dxa"/>
              <w:bottom w:w="100" w:type="dxa"/>
              <w:right w:w="100" w:type="dxa"/>
            </w:tcMar>
          </w:tcPr>
          <w:p w14:paraId="1D8222BE" w14:textId="745B1377" w:rsidR="00256802" w:rsidRPr="00052F8A" w:rsidRDefault="00256802" w:rsidP="00256802">
            <w:pPr>
              <w:widowControl w:val="0"/>
              <w:rPr>
                <w:rFonts w:ascii="Garamond" w:hAnsi="Garamond" w:cstheme="minorHAnsi"/>
                <w:sz w:val="20"/>
                <w:szCs w:val="20"/>
              </w:rPr>
            </w:pPr>
            <w:r>
              <w:rPr>
                <w:rFonts w:ascii="Garamond" w:hAnsi="Garamond" w:cstheme="minorHAnsi"/>
                <w:sz w:val="20"/>
                <w:szCs w:val="20"/>
              </w:rPr>
              <w:t>68 miles / 109 km</w:t>
            </w:r>
          </w:p>
        </w:tc>
        <w:tc>
          <w:tcPr>
            <w:tcW w:w="1620" w:type="dxa"/>
            <w:shd w:val="clear" w:color="auto" w:fill="auto"/>
            <w:tcMar>
              <w:top w:w="100" w:type="dxa"/>
              <w:left w:w="100" w:type="dxa"/>
              <w:bottom w:w="100" w:type="dxa"/>
              <w:right w:w="100" w:type="dxa"/>
            </w:tcMar>
          </w:tcPr>
          <w:p w14:paraId="247B84DA" w14:textId="12243FE1" w:rsidR="00256802" w:rsidRPr="00052F8A" w:rsidRDefault="00256802" w:rsidP="00256802">
            <w:pPr>
              <w:widowControl w:val="0"/>
              <w:rPr>
                <w:rFonts w:ascii="Garamond" w:hAnsi="Garamond" w:cstheme="minorHAnsi"/>
                <w:sz w:val="20"/>
                <w:szCs w:val="20"/>
              </w:rPr>
            </w:pPr>
            <w:r>
              <w:rPr>
                <w:rFonts w:ascii="Garamond" w:hAnsi="Garamond" w:cstheme="minorHAnsi"/>
                <w:sz w:val="20"/>
                <w:szCs w:val="20"/>
              </w:rPr>
              <w:t>Class 7-8</w:t>
            </w:r>
          </w:p>
        </w:tc>
        <w:tc>
          <w:tcPr>
            <w:tcW w:w="1284" w:type="dxa"/>
          </w:tcPr>
          <w:p w14:paraId="31A47105" w14:textId="7C23EE48" w:rsidR="00256802" w:rsidRPr="00052F8A" w:rsidRDefault="00256802" w:rsidP="00256802">
            <w:pPr>
              <w:widowControl w:val="0"/>
              <w:rPr>
                <w:rFonts w:ascii="Garamond" w:hAnsi="Garamond" w:cstheme="minorHAnsi"/>
                <w:sz w:val="20"/>
                <w:szCs w:val="20"/>
              </w:rPr>
            </w:pPr>
            <w:r>
              <w:rPr>
                <w:rFonts w:ascii="Garamond" w:hAnsi="Garamond" w:cstheme="minorHAnsi"/>
                <w:sz w:val="20"/>
                <w:szCs w:val="20"/>
              </w:rPr>
              <w:t xml:space="preserve">26,000 – 97,000 </w:t>
            </w:r>
            <w:proofErr w:type="spellStart"/>
            <w:r>
              <w:rPr>
                <w:rFonts w:ascii="Garamond" w:hAnsi="Garamond" w:cstheme="minorHAnsi"/>
                <w:sz w:val="20"/>
                <w:szCs w:val="20"/>
              </w:rPr>
              <w:t>lbs</w:t>
            </w:r>
            <w:proofErr w:type="spellEnd"/>
            <w:r>
              <w:rPr>
                <w:rFonts w:ascii="Garamond" w:hAnsi="Garamond" w:cstheme="minorHAnsi"/>
                <w:sz w:val="20"/>
                <w:szCs w:val="20"/>
              </w:rPr>
              <w:t xml:space="preserve"> / 11,800 – 44,000 kg</w:t>
            </w:r>
          </w:p>
        </w:tc>
        <w:tc>
          <w:tcPr>
            <w:tcW w:w="1284" w:type="dxa"/>
            <w:shd w:val="clear" w:color="auto" w:fill="auto"/>
            <w:tcMar>
              <w:top w:w="100" w:type="dxa"/>
              <w:left w:w="100" w:type="dxa"/>
              <w:bottom w:w="100" w:type="dxa"/>
              <w:right w:w="100" w:type="dxa"/>
            </w:tcMar>
          </w:tcPr>
          <w:p w14:paraId="0C908DC8" w14:textId="4D6E7AE8" w:rsidR="00256802" w:rsidRPr="00052F8A" w:rsidRDefault="00256802" w:rsidP="00256802">
            <w:pPr>
              <w:widowControl w:val="0"/>
              <w:rPr>
                <w:rFonts w:ascii="Garamond" w:hAnsi="Garamond" w:cstheme="minorHAnsi"/>
                <w:sz w:val="20"/>
                <w:szCs w:val="20"/>
              </w:rPr>
            </w:pPr>
            <w:r>
              <w:rPr>
                <w:rFonts w:ascii="Garamond" w:hAnsi="Garamond" w:cstheme="minorHAnsi"/>
                <w:sz w:val="20"/>
                <w:szCs w:val="20"/>
              </w:rPr>
              <w:t>Depot</w:t>
            </w:r>
          </w:p>
        </w:tc>
      </w:tr>
      <w:tr w:rsidR="00256802" w:rsidRPr="00075CE6" w14:paraId="65A21600" w14:textId="77777777" w:rsidTr="61573DFA">
        <w:tc>
          <w:tcPr>
            <w:tcW w:w="1326" w:type="dxa"/>
            <w:shd w:val="clear" w:color="auto" w:fill="auto"/>
            <w:tcMar>
              <w:top w:w="100" w:type="dxa"/>
              <w:left w:w="100" w:type="dxa"/>
              <w:bottom w:w="100" w:type="dxa"/>
              <w:right w:w="100" w:type="dxa"/>
            </w:tcMar>
          </w:tcPr>
          <w:p w14:paraId="5BB4B5BD" w14:textId="4A0ECC73" w:rsidR="00256802" w:rsidRDefault="00256802" w:rsidP="00256802">
            <w:pPr>
              <w:widowControl w:val="0"/>
              <w:rPr>
                <w:rFonts w:ascii="Garamond" w:hAnsi="Garamond" w:cstheme="minorBidi"/>
                <w:b/>
                <w:bCs/>
                <w:sz w:val="20"/>
                <w:szCs w:val="20"/>
              </w:rPr>
            </w:pPr>
            <w:r w:rsidRPr="00052F8A">
              <w:rPr>
                <w:rFonts w:ascii="Garamond" w:hAnsi="Garamond" w:cstheme="minorBidi"/>
                <w:b/>
                <w:bCs/>
                <w:sz w:val="20"/>
                <w:szCs w:val="20"/>
              </w:rPr>
              <w:t xml:space="preserve">HD </w:t>
            </w:r>
            <w:r>
              <w:rPr>
                <w:rFonts w:ascii="Garamond" w:hAnsi="Garamond" w:cstheme="minorBidi"/>
                <w:b/>
                <w:bCs/>
                <w:sz w:val="20"/>
                <w:szCs w:val="20"/>
              </w:rPr>
              <w:t>L</w:t>
            </w:r>
            <w:r w:rsidRPr="00052F8A">
              <w:rPr>
                <w:rFonts w:ascii="Garamond" w:hAnsi="Garamond" w:cstheme="minorBidi"/>
                <w:b/>
                <w:bCs/>
                <w:sz w:val="20"/>
                <w:szCs w:val="20"/>
              </w:rPr>
              <w:t>ong-</w:t>
            </w:r>
            <w:r>
              <w:rPr>
                <w:rFonts w:ascii="Garamond" w:hAnsi="Garamond" w:cstheme="minorBidi"/>
                <w:b/>
                <w:bCs/>
                <w:sz w:val="20"/>
                <w:szCs w:val="20"/>
              </w:rPr>
              <w:t>H</w:t>
            </w:r>
            <w:r w:rsidRPr="00052F8A">
              <w:rPr>
                <w:rFonts w:ascii="Garamond" w:hAnsi="Garamond" w:cstheme="minorBidi"/>
                <w:b/>
                <w:bCs/>
                <w:sz w:val="20"/>
                <w:szCs w:val="20"/>
              </w:rPr>
              <w:t>aul</w:t>
            </w:r>
            <w:r>
              <w:rPr>
                <w:rFonts w:ascii="Garamond" w:hAnsi="Garamond" w:cstheme="minorBidi"/>
                <w:b/>
                <w:bCs/>
                <w:sz w:val="20"/>
                <w:szCs w:val="20"/>
              </w:rPr>
              <w:t xml:space="preserve"> Truck</w:t>
            </w:r>
          </w:p>
          <w:p w14:paraId="7310ACE5" w14:textId="3F8FD490" w:rsidR="00256802" w:rsidRPr="00052F8A" w:rsidRDefault="006F662A" w:rsidP="00256802">
            <w:pPr>
              <w:widowControl w:val="0"/>
              <w:rPr>
                <w:rFonts w:ascii="Garamond" w:hAnsi="Garamond" w:cstheme="minorHAnsi"/>
                <w:b/>
                <w:bCs/>
                <w:sz w:val="20"/>
                <w:szCs w:val="20"/>
              </w:rPr>
            </w:pPr>
            <w:r>
              <w:rPr>
                <w:noProof/>
              </w:rPr>
              <w:drawing>
                <wp:anchor distT="0" distB="0" distL="114300" distR="114300" simplePos="0" relativeHeight="251658251" behindDoc="1" locked="0" layoutInCell="1" allowOverlap="1" wp14:anchorId="27F4EB19" wp14:editId="3297D09C">
                  <wp:simplePos x="0" y="0"/>
                  <wp:positionH relativeFrom="column">
                    <wp:posOffset>34290</wp:posOffset>
                  </wp:positionH>
                  <wp:positionV relativeFrom="paragraph">
                    <wp:posOffset>-635</wp:posOffset>
                  </wp:positionV>
                  <wp:extent cx="572770" cy="572770"/>
                  <wp:effectExtent l="0" t="0" r="0" b="0"/>
                  <wp:wrapNone/>
                  <wp:docPr id="216" name="Picture 2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pic:nvPicPr>
                        <pic:blipFill>
                          <a:blip r:embed="rId23">
                            <a:extLst>
                              <a:ext uri="{28A0092B-C50C-407E-A947-70E740481C1C}">
                                <a14:useLocalDpi xmlns:a14="http://schemas.microsoft.com/office/drawing/2010/main" val="0"/>
                              </a:ext>
                            </a:extLst>
                          </a:blip>
                          <a:stretch>
                            <a:fillRect/>
                          </a:stretch>
                        </pic:blipFill>
                        <pic:spPr>
                          <a:xfrm>
                            <a:off x="0" y="0"/>
                            <a:ext cx="572770" cy="572770"/>
                          </a:xfrm>
                          <a:prstGeom prst="rect">
                            <a:avLst/>
                          </a:prstGeom>
                        </pic:spPr>
                      </pic:pic>
                    </a:graphicData>
                  </a:graphic>
                  <wp14:sizeRelH relativeFrom="page">
                    <wp14:pctWidth>0</wp14:pctWidth>
                  </wp14:sizeRelH>
                  <wp14:sizeRelV relativeFrom="page">
                    <wp14:pctHeight>0</wp14:pctHeight>
                  </wp14:sizeRelV>
                </wp:anchor>
              </w:drawing>
            </w:r>
            <w:r w:rsidR="005253B6">
              <w:rPr>
                <w:noProof/>
              </w:rPr>
              <mc:AlternateContent>
                <mc:Choice Requires="wps">
                  <w:drawing>
                    <wp:inline distT="0" distB="0" distL="114300" distR="114300" wp14:anchorId="0074D3FF" wp14:editId="5D1B7C76">
                      <wp:extent cx="599016" cy="592666"/>
                      <wp:effectExtent l="0" t="0" r="10795" b="17145"/>
                      <wp:docPr id="3751268" name="Oval 14"/>
                      <wp:cNvGraphicFramePr/>
                      <a:graphic xmlns:a="http://schemas.openxmlformats.org/drawingml/2006/main">
                        <a:graphicData uri="http://schemas.microsoft.com/office/word/2010/wordprocessingShape">
                          <wps:wsp>
                            <wps:cNvSpPr/>
                            <wps:spPr>
                              <a:xfrm>
                                <a:off x="0" y="0"/>
                                <a:ext cx="599016" cy="592666"/>
                              </a:xfrm>
                              <a:prstGeom prst="ellipse">
                                <a:avLst/>
                              </a:prstGeom>
                              <a:noFill/>
                              <a:ln w="19050">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952134" id="Oval 14" o:spid="_x0000_s1026" style="width:47.1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" filled="f" strokecolor="#365f91 [2404]" strokeweight="1.5pt">
                      <w10:anchorlock/>
                    </v:oval>
                  </w:pict>
                </mc:Fallback>
              </mc:AlternateContent>
            </w:r>
          </w:p>
        </w:tc>
        <w:tc>
          <w:tcPr>
            <w:tcW w:w="1749" w:type="dxa"/>
            <w:shd w:val="clear" w:color="auto" w:fill="auto"/>
            <w:tcMar>
              <w:top w:w="100" w:type="dxa"/>
              <w:left w:w="100" w:type="dxa"/>
              <w:bottom w:w="100" w:type="dxa"/>
              <w:right w:w="100" w:type="dxa"/>
            </w:tcMar>
          </w:tcPr>
          <w:p w14:paraId="61C5C11B" w14:textId="45D3DFF4" w:rsidR="00256802" w:rsidRPr="00052F8A" w:rsidRDefault="00256802" w:rsidP="00256802">
            <w:pPr>
              <w:widowControl w:val="0"/>
              <w:rPr>
                <w:rFonts w:ascii="Garamond" w:hAnsi="Garamond" w:cstheme="minorHAnsi"/>
                <w:sz w:val="20"/>
                <w:szCs w:val="20"/>
              </w:rPr>
            </w:pPr>
            <w:r w:rsidRPr="00052F8A">
              <w:rPr>
                <w:rFonts w:ascii="Garamond" w:hAnsi="Garamond" w:cstheme="minorHAnsi"/>
                <w:sz w:val="20"/>
                <w:szCs w:val="20"/>
              </w:rPr>
              <w:t>Cargo vehicle to move goods long distances over variable routes</w:t>
            </w:r>
          </w:p>
        </w:tc>
        <w:tc>
          <w:tcPr>
            <w:tcW w:w="875" w:type="dxa"/>
            <w:shd w:val="clear" w:color="auto" w:fill="auto"/>
            <w:tcMar>
              <w:top w:w="100" w:type="dxa"/>
              <w:left w:w="100" w:type="dxa"/>
              <w:bottom w:w="100" w:type="dxa"/>
              <w:right w:w="100" w:type="dxa"/>
            </w:tcMar>
          </w:tcPr>
          <w:p w14:paraId="7A8E02A5" w14:textId="0572203A" w:rsidR="00256802" w:rsidRPr="00052F8A" w:rsidRDefault="00256802" w:rsidP="00256802">
            <w:pPr>
              <w:widowControl w:val="0"/>
              <w:rPr>
                <w:rFonts w:ascii="Garamond" w:hAnsi="Garamond" w:cstheme="minorHAnsi"/>
                <w:sz w:val="20"/>
                <w:szCs w:val="20"/>
              </w:rPr>
            </w:pPr>
            <w:r>
              <w:rPr>
                <w:rFonts w:ascii="Garamond" w:hAnsi="Garamond" w:cstheme="minorHAnsi"/>
                <w:sz w:val="20"/>
                <w:szCs w:val="20"/>
              </w:rPr>
              <w:t>Fifth</w:t>
            </w:r>
          </w:p>
        </w:tc>
        <w:tc>
          <w:tcPr>
            <w:tcW w:w="1170" w:type="dxa"/>
            <w:shd w:val="clear" w:color="auto" w:fill="auto"/>
            <w:tcMar>
              <w:top w:w="100" w:type="dxa"/>
              <w:left w:w="100" w:type="dxa"/>
              <w:bottom w:w="100" w:type="dxa"/>
              <w:right w:w="100" w:type="dxa"/>
            </w:tcMar>
          </w:tcPr>
          <w:p w14:paraId="35086BFA" w14:textId="4AED191F" w:rsidR="00256802" w:rsidRPr="00052F8A" w:rsidRDefault="00256802" w:rsidP="00256802">
            <w:pPr>
              <w:widowControl w:val="0"/>
              <w:rPr>
                <w:rFonts w:ascii="Garamond" w:hAnsi="Garamond" w:cstheme="minorHAnsi"/>
                <w:sz w:val="20"/>
                <w:szCs w:val="20"/>
              </w:rPr>
            </w:pPr>
            <w:r>
              <w:rPr>
                <w:rFonts w:ascii="Garamond" w:hAnsi="Garamond" w:cstheme="minorHAnsi"/>
                <w:sz w:val="20"/>
                <w:szCs w:val="20"/>
              </w:rPr>
              <w:t>172</w:t>
            </w:r>
            <w:r w:rsidRPr="00052F8A">
              <w:rPr>
                <w:rFonts w:ascii="Garamond" w:hAnsi="Garamond" w:cstheme="minorHAnsi"/>
                <w:sz w:val="20"/>
                <w:szCs w:val="20"/>
              </w:rPr>
              <w:t xml:space="preserve"> miles / </w:t>
            </w:r>
            <w:r>
              <w:rPr>
                <w:rFonts w:ascii="Garamond" w:hAnsi="Garamond" w:cstheme="minorHAnsi"/>
                <w:sz w:val="20"/>
                <w:szCs w:val="20"/>
              </w:rPr>
              <w:t>277</w:t>
            </w:r>
            <w:r w:rsidRPr="00052F8A">
              <w:rPr>
                <w:rFonts w:ascii="Garamond" w:hAnsi="Garamond" w:cstheme="minorHAnsi"/>
                <w:sz w:val="20"/>
                <w:szCs w:val="20"/>
              </w:rPr>
              <w:t xml:space="preserve"> km</w:t>
            </w:r>
          </w:p>
        </w:tc>
        <w:tc>
          <w:tcPr>
            <w:tcW w:w="1620" w:type="dxa"/>
            <w:shd w:val="clear" w:color="auto" w:fill="auto"/>
            <w:tcMar>
              <w:top w:w="100" w:type="dxa"/>
              <w:left w:w="100" w:type="dxa"/>
              <w:bottom w:w="100" w:type="dxa"/>
              <w:right w:w="100" w:type="dxa"/>
            </w:tcMar>
          </w:tcPr>
          <w:p w14:paraId="1F232F5D" w14:textId="3977653A" w:rsidR="00256802" w:rsidRPr="00052F8A" w:rsidRDefault="00256802" w:rsidP="00256802">
            <w:pPr>
              <w:widowControl w:val="0"/>
              <w:rPr>
                <w:rFonts w:ascii="Garamond" w:hAnsi="Garamond" w:cstheme="minorHAnsi"/>
                <w:sz w:val="20"/>
                <w:szCs w:val="20"/>
              </w:rPr>
            </w:pPr>
            <w:r w:rsidRPr="00052F8A">
              <w:rPr>
                <w:rFonts w:ascii="Garamond" w:hAnsi="Garamond" w:cstheme="minorHAnsi"/>
                <w:sz w:val="20"/>
                <w:szCs w:val="20"/>
              </w:rPr>
              <w:t>Class 7-8</w:t>
            </w:r>
          </w:p>
        </w:tc>
        <w:tc>
          <w:tcPr>
            <w:tcW w:w="1284" w:type="dxa"/>
          </w:tcPr>
          <w:p w14:paraId="1C7B075F" w14:textId="0B708ACC" w:rsidR="00256802" w:rsidRPr="00052F8A" w:rsidRDefault="00256802" w:rsidP="00256802">
            <w:pPr>
              <w:widowControl w:val="0"/>
              <w:rPr>
                <w:rFonts w:ascii="Garamond" w:hAnsi="Garamond" w:cstheme="minorHAnsi"/>
                <w:sz w:val="20"/>
                <w:szCs w:val="20"/>
              </w:rPr>
            </w:pPr>
            <w:r w:rsidRPr="00052F8A">
              <w:rPr>
                <w:rFonts w:ascii="Garamond" w:hAnsi="Garamond" w:cstheme="minorHAnsi"/>
                <w:sz w:val="20"/>
                <w:szCs w:val="20"/>
              </w:rPr>
              <w:t xml:space="preserve">44,000-110,000 </w:t>
            </w:r>
            <w:proofErr w:type="spellStart"/>
            <w:r w:rsidRPr="00052F8A">
              <w:rPr>
                <w:rFonts w:ascii="Garamond" w:hAnsi="Garamond" w:cstheme="minorHAnsi"/>
                <w:sz w:val="20"/>
                <w:szCs w:val="20"/>
              </w:rPr>
              <w:t>lbs</w:t>
            </w:r>
            <w:proofErr w:type="spellEnd"/>
            <w:r w:rsidRPr="00052F8A">
              <w:rPr>
                <w:rFonts w:ascii="Garamond" w:hAnsi="Garamond" w:cstheme="minorHAnsi"/>
                <w:sz w:val="20"/>
                <w:szCs w:val="20"/>
              </w:rPr>
              <w:t xml:space="preserve"> / 19,960 -49,895 kg</w:t>
            </w:r>
          </w:p>
        </w:tc>
        <w:tc>
          <w:tcPr>
            <w:tcW w:w="1284" w:type="dxa"/>
            <w:shd w:val="clear" w:color="auto" w:fill="auto"/>
            <w:tcMar>
              <w:top w:w="100" w:type="dxa"/>
              <w:left w:w="100" w:type="dxa"/>
              <w:bottom w:w="100" w:type="dxa"/>
              <w:right w:w="100" w:type="dxa"/>
            </w:tcMar>
          </w:tcPr>
          <w:p w14:paraId="23DCB896" w14:textId="2B987BBE" w:rsidR="00256802" w:rsidRPr="00052F8A" w:rsidRDefault="00256802" w:rsidP="00256802">
            <w:pPr>
              <w:widowControl w:val="0"/>
              <w:rPr>
                <w:rFonts w:ascii="Garamond" w:hAnsi="Garamond" w:cstheme="minorHAnsi"/>
                <w:sz w:val="20"/>
                <w:szCs w:val="20"/>
              </w:rPr>
            </w:pPr>
            <w:r w:rsidRPr="00052F8A">
              <w:rPr>
                <w:rFonts w:ascii="Garamond" w:hAnsi="Garamond" w:cstheme="minorHAnsi"/>
                <w:sz w:val="20"/>
                <w:szCs w:val="20"/>
              </w:rPr>
              <w:t>Depot, Opportunity</w:t>
            </w:r>
            <w:r>
              <w:rPr>
                <w:rFonts w:ascii="Garamond" w:hAnsi="Garamond" w:cstheme="minorHAnsi"/>
                <w:sz w:val="20"/>
                <w:szCs w:val="20"/>
              </w:rPr>
              <w:t>, On-Route</w:t>
            </w:r>
          </w:p>
        </w:tc>
      </w:tr>
    </w:tbl>
    <w:p w14:paraId="3F51C75B" w14:textId="43908D8E" w:rsidR="00AD4C97" w:rsidRDefault="00AD4C97">
      <w:pPr>
        <w:spacing w:after="80"/>
      </w:pPr>
    </w:p>
    <w:p w14:paraId="5A2958C4" w14:textId="77777777" w:rsidR="00AD4C97" w:rsidRDefault="00AD4C97" w:rsidP="0035480F">
      <w:pPr>
        <w:pStyle w:val="Caption"/>
        <w:keepNext/>
        <w:rPr>
          <w:b/>
          <w:bCs/>
          <w:i w:val="0"/>
          <w:iCs w:val="0"/>
          <w:color w:val="auto"/>
          <w:sz w:val="22"/>
          <w:szCs w:val="22"/>
        </w:rPr>
      </w:pPr>
    </w:p>
    <w:p w14:paraId="0EA533B1" w14:textId="77777777" w:rsidR="009869E7" w:rsidRDefault="009869E7">
      <w:pPr>
        <w:spacing w:line="276" w:lineRule="auto"/>
        <w:rPr>
          <w:rStyle w:val="Emphasis"/>
          <w:b/>
          <w:i w:val="0"/>
          <w:iCs w:val="0"/>
        </w:rPr>
      </w:pPr>
      <w:r>
        <w:rPr>
          <w:rStyle w:val="Emphasis"/>
          <w:i w:val="0"/>
          <w:iCs w:val="0"/>
        </w:rPr>
        <w:br w:type="page"/>
      </w:r>
    </w:p>
    <w:p w14:paraId="7EFDBA2C" w14:textId="791751AC" w:rsidR="00AD4C97" w:rsidRDefault="00AD4C97" w:rsidP="00CE3C2B">
      <w:pPr>
        <w:pStyle w:val="Tables"/>
        <w:rPr>
          <w:rStyle w:val="Emphasis"/>
          <w:i w:val="0"/>
          <w:iCs w:val="0"/>
        </w:rPr>
      </w:pPr>
      <w:bookmarkStart w:id="14" w:name="_Toc53065382"/>
      <w:r w:rsidRPr="00CE3C2B">
        <w:rPr>
          <w:rStyle w:val="Emphasis"/>
          <w:i w:val="0"/>
          <w:iCs w:val="0"/>
        </w:rPr>
        <w:lastRenderedPageBreak/>
        <w:t>Table 2: Off-Road ZECV Applications and Readiness</w:t>
      </w:r>
      <w:bookmarkEnd w:id="14"/>
    </w:p>
    <w:p w14:paraId="4D05F1EE" w14:textId="77777777" w:rsidR="009869E7" w:rsidRPr="00CE3C2B" w:rsidRDefault="009869E7" w:rsidP="00CE3C2B">
      <w:pPr>
        <w:pStyle w:val="Tables"/>
        <w:rPr>
          <w:rStyle w:val="Emphasis"/>
          <w:i w:val="0"/>
          <w:iCs w:val="0"/>
        </w:rPr>
      </w:pPr>
    </w:p>
    <w:tbl>
      <w:tblPr>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8"/>
        <w:gridCol w:w="1753"/>
        <w:gridCol w:w="1029"/>
        <w:gridCol w:w="2630"/>
        <w:gridCol w:w="1260"/>
        <w:gridCol w:w="1350"/>
      </w:tblGrid>
      <w:tr w:rsidR="00AD4C97" w:rsidRPr="00075CE6" w14:paraId="5E10A02F" w14:textId="77777777" w:rsidTr="00EA6921">
        <w:trPr>
          <w:trHeight w:val="745"/>
        </w:trPr>
        <w:tc>
          <w:tcPr>
            <w:tcW w:w="1328" w:type="dxa"/>
            <w:shd w:val="clear" w:color="auto" w:fill="auto"/>
            <w:tcMar>
              <w:top w:w="100" w:type="dxa"/>
              <w:left w:w="100" w:type="dxa"/>
              <w:bottom w:w="100" w:type="dxa"/>
              <w:right w:w="100" w:type="dxa"/>
            </w:tcMar>
          </w:tcPr>
          <w:p w14:paraId="07084640" w14:textId="225208A8" w:rsidR="00AD4C97" w:rsidRPr="00052F8A" w:rsidRDefault="00AD4C97" w:rsidP="00982522">
            <w:pPr>
              <w:widowControl w:val="0"/>
              <w:rPr>
                <w:rFonts w:ascii="Garamond" w:hAnsi="Garamond" w:cstheme="minorHAnsi"/>
                <w:sz w:val="20"/>
                <w:szCs w:val="20"/>
              </w:rPr>
            </w:pPr>
            <w:r w:rsidRPr="00052F8A">
              <w:rPr>
                <w:rFonts w:ascii="Garamond" w:hAnsi="Garamond" w:cstheme="minorHAnsi"/>
                <w:b/>
                <w:bCs/>
                <w:sz w:val="20"/>
                <w:szCs w:val="20"/>
              </w:rPr>
              <w:t>Application</w:t>
            </w:r>
          </w:p>
        </w:tc>
        <w:tc>
          <w:tcPr>
            <w:tcW w:w="1753" w:type="dxa"/>
            <w:shd w:val="clear" w:color="auto" w:fill="auto"/>
            <w:tcMar>
              <w:top w:w="100" w:type="dxa"/>
              <w:left w:w="100" w:type="dxa"/>
              <w:bottom w:w="100" w:type="dxa"/>
              <w:right w:w="100" w:type="dxa"/>
            </w:tcMar>
          </w:tcPr>
          <w:p w14:paraId="637BAFE2" w14:textId="4022D6E5" w:rsidR="00AD4C97" w:rsidRPr="00052F8A" w:rsidRDefault="00AD4C97" w:rsidP="00982522">
            <w:pPr>
              <w:widowControl w:val="0"/>
              <w:rPr>
                <w:rFonts w:ascii="Garamond" w:hAnsi="Garamond" w:cstheme="minorHAnsi"/>
                <w:sz w:val="20"/>
                <w:szCs w:val="20"/>
              </w:rPr>
            </w:pPr>
            <w:r w:rsidRPr="00052F8A">
              <w:rPr>
                <w:rFonts w:ascii="Garamond" w:hAnsi="Garamond" w:cstheme="minorHAnsi"/>
                <w:b/>
                <w:bCs/>
                <w:sz w:val="20"/>
                <w:szCs w:val="20"/>
              </w:rPr>
              <w:t>Operational Characteristics</w:t>
            </w:r>
          </w:p>
        </w:tc>
        <w:tc>
          <w:tcPr>
            <w:tcW w:w="1029" w:type="dxa"/>
            <w:shd w:val="clear" w:color="auto" w:fill="auto"/>
            <w:tcMar>
              <w:top w:w="100" w:type="dxa"/>
              <w:left w:w="100" w:type="dxa"/>
              <w:bottom w:w="100" w:type="dxa"/>
              <w:right w:w="100" w:type="dxa"/>
            </w:tcMar>
          </w:tcPr>
          <w:p w14:paraId="69AB19D0" w14:textId="79F30DA4" w:rsidR="00AD4C97" w:rsidRPr="00052F8A" w:rsidRDefault="005253B6" w:rsidP="006F19EF">
            <w:pPr>
              <w:widowControl w:val="0"/>
              <w:rPr>
                <w:rFonts w:ascii="Garamond" w:hAnsi="Garamond" w:cstheme="minorHAnsi"/>
                <w:sz w:val="20"/>
                <w:szCs w:val="20"/>
              </w:rPr>
            </w:pPr>
            <w:r>
              <w:rPr>
                <w:rFonts w:ascii="Garamond" w:hAnsi="Garamond" w:cstheme="minorHAnsi"/>
                <w:b/>
                <w:bCs/>
                <w:sz w:val="20"/>
                <w:szCs w:val="20"/>
              </w:rPr>
              <w:t>Tech Wave</w:t>
            </w:r>
          </w:p>
        </w:tc>
        <w:tc>
          <w:tcPr>
            <w:tcW w:w="2630" w:type="dxa"/>
            <w:shd w:val="clear" w:color="auto" w:fill="auto"/>
            <w:tcMar>
              <w:top w:w="100" w:type="dxa"/>
              <w:left w:w="100" w:type="dxa"/>
              <w:bottom w:w="100" w:type="dxa"/>
              <w:right w:w="100" w:type="dxa"/>
            </w:tcMar>
          </w:tcPr>
          <w:p w14:paraId="75C5AF01" w14:textId="4CDB966C" w:rsidR="00AD4C97" w:rsidRPr="00052F8A" w:rsidRDefault="00AD4C97" w:rsidP="00982522">
            <w:pPr>
              <w:widowControl w:val="0"/>
              <w:rPr>
                <w:rFonts w:ascii="Garamond" w:hAnsi="Garamond" w:cstheme="minorHAnsi"/>
                <w:sz w:val="20"/>
                <w:szCs w:val="20"/>
              </w:rPr>
            </w:pPr>
            <w:r w:rsidRPr="00052F8A">
              <w:rPr>
                <w:rFonts w:ascii="Garamond" w:hAnsi="Garamond" w:cstheme="minorHAnsi"/>
                <w:b/>
                <w:bCs/>
                <w:sz w:val="20"/>
                <w:szCs w:val="20"/>
              </w:rPr>
              <w:t>Typical Designation or Class</w:t>
            </w:r>
          </w:p>
        </w:tc>
        <w:tc>
          <w:tcPr>
            <w:tcW w:w="1260" w:type="dxa"/>
          </w:tcPr>
          <w:p w14:paraId="1112525F" w14:textId="554C9570" w:rsidR="00AD4C97" w:rsidRPr="00052F8A" w:rsidRDefault="00AD4C97" w:rsidP="00982522">
            <w:pPr>
              <w:widowControl w:val="0"/>
              <w:rPr>
                <w:rFonts w:ascii="Garamond" w:hAnsi="Garamond" w:cstheme="minorHAnsi"/>
                <w:b/>
                <w:bCs/>
                <w:sz w:val="20"/>
                <w:szCs w:val="20"/>
              </w:rPr>
            </w:pPr>
            <w:r w:rsidRPr="00052F8A">
              <w:rPr>
                <w:rFonts w:ascii="Garamond" w:hAnsi="Garamond" w:cstheme="minorHAnsi"/>
                <w:b/>
                <w:bCs/>
                <w:sz w:val="20"/>
                <w:szCs w:val="20"/>
              </w:rPr>
              <w:t>GVWR Range</w:t>
            </w:r>
          </w:p>
        </w:tc>
        <w:tc>
          <w:tcPr>
            <w:tcW w:w="1350" w:type="dxa"/>
            <w:shd w:val="clear" w:color="auto" w:fill="auto"/>
            <w:tcMar>
              <w:top w:w="100" w:type="dxa"/>
              <w:left w:w="100" w:type="dxa"/>
              <w:bottom w:w="100" w:type="dxa"/>
              <w:right w:w="100" w:type="dxa"/>
            </w:tcMar>
          </w:tcPr>
          <w:p w14:paraId="3BD7BA3E" w14:textId="470AB9E4" w:rsidR="00AD4C97" w:rsidRPr="00052F8A" w:rsidRDefault="00AD4C97" w:rsidP="00982522">
            <w:pPr>
              <w:widowControl w:val="0"/>
              <w:rPr>
                <w:rFonts w:ascii="Garamond" w:hAnsi="Garamond" w:cstheme="minorHAnsi"/>
                <w:sz w:val="20"/>
                <w:szCs w:val="20"/>
              </w:rPr>
            </w:pPr>
            <w:r w:rsidRPr="00052F8A">
              <w:rPr>
                <w:rFonts w:ascii="Garamond" w:hAnsi="Garamond" w:cstheme="minorHAnsi"/>
                <w:b/>
                <w:bCs/>
                <w:sz w:val="20"/>
                <w:szCs w:val="20"/>
              </w:rPr>
              <w:t xml:space="preserve">Charging </w:t>
            </w:r>
            <w:r>
              <w:rPr>
                <w:rFonts w:ascii="Garamond" w:hAnsi="Garamond" w:cstheme="minorHAnsi"/>
                <w:b/>
                <w:bCs/>
                <w:sz w:val="20"/>
                <w:szCs w:val="20"/>
              </w:rPr>
              <w:t>Method</w:t>
            </w:r>
          </w:p>
        </w:tc>
      </w:tr>
      <w:tr w:rsidR="00AD4C97" w:rsidRPr="00075CE6" w14:paraId="2E5738C2" w14:textId="77777777" w:rsidTr="00EA6921">
        <w:trPr>
          <w:trHeight w:val="275"/>
        </w:trPr>
        <w:tc>
          <w:tcPr>
            <w:tcW w:w="1328" w:type="dxa"/>
            <w:shd w:val="clear" w:color="auto" w:fill="auto"/>
            <w:tcMar>
              <w:top w:w="100" w:type="dxa"/>
              <w:left w:w="100" w:type="dxa"/>
              <w:bottom w:w="100" w:type="dxa"/>
              <w:right w:w="100" w:type="dxa"/>
            </w:tcMar>
          </w:tcPr>
          <w:p w14:paraId="16977316" w14:textId="77777777" w:rsidR="00AD4C97" w:rsidRDefault="00AD4C97" w:rsidP="00BC6A5E">
            <w:pPr>
              <w:widowControl w:val="0"/>
              <w:rPr>
                <w:rFonts w:ascii="Garamond" w:hAnsi="Garamond" w:cstheme="minorHAnsi"/>
                <w:b/>
                <w:bCs/>
                <w:sz w:val="20"/>
                <w:szCs w:val="20"/>
              </w:rPr>
            </w:pPr>
            <w:r>
              <w:rPr>
                <w:rFonts w:ascii="Garamond" w:hAnsi="Garamond" w:cstheme="minorHAnsi"/>
                <w:b/>
                <w:bCs/>
                <w:sz w:val="20"/>
                <w:szCs w:val="20"/>
              </w:rPr>
              <w:t>Light Lifts</w:t>
            </w:r>
          </w:p>
          <w:p w14:paraId="668EF541" w14:textId="14506E0F" w:rsidR="00AD4C97" w:rsidRPr="00052F8A" w:rsidRDefault="00AD4C97" w:rsidP="00BC6A5E">
            <w:pPr>
              <w:widowControl w:val="0"/>
              <w:rPr>
                <w:rFonts w:ascii="Garamond" w:hAnsi="Garamond" w:cstheme="minorHAnsi"/>
                <w:b/>
                <w:bCs/>
                <w:sz w:val="20"/>
                <w:szCs w:val="20"/>
              </w:rPr>
            </w:pPr>
            <w:r>
              <w:rPr>
                <w:noProof/>
              </w:rPr>
              <w:drawing>
                <wp:inline distT="0" distB="0" distL="0" distR="0" wp14:anchorId="6C9B004D" wp14:editId="68E502D5">
                  <wp:extent cx="716280" cy="664210"/>
                  <wp:effectExtent l="0" t="0" r="762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716280" cy="664210"/>
                          </a:xfrm>
                          <a:prstGeom prst="rect">
                            <a:avLst/>
                          </a:prstGeom>
                        </pic:spPr>
                      </pic:pic>
                    </a:graphicData>
                  </a:graphic>
                </wp:inline>
              </w:drawing>
            </w:r>
          </w:p>
        </w:tc>
        <w:tc>
          <w:tcPr>
            <w:tcW w:w="1753" w:type="dxa"/>
            <w:shd w:val="clear" w:color="auto" w:fill="auto"/>
            <w:tcMar>
              <w:top w:w="100" w:type="dxa"/>
              <w:left w:w="100" w:type="dxa"/>
              <w:bottom w:w="100" w:type="dxa"/>
              <w:right w:w="100" w:type="dxa"/>
            </w:tcMar>
          </w:tcPr>
          <w:p w14:paraId="1563B767" w14:textId="20905415"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S</w:t>
            </w:r>
            <w:r>
              <w:rPr>
                <w:rFonts w:ascii="Garamond" w:hAnsi="Garamond" w:cstheme="minorHAnsi"/>
                <w:sz w:val="20"/>
                <w:szCs w:val="20"/>
              </w:rPr>
              <w:t>mall s</w:t>
            </w:r>
            <w:r w:rsidRPr="00052F8A">
              <w:rPr>
                <w:rFonts w:ascii="Garamond" w:hAnsi="Garamond" w:cstheme="minorHAnsi"/>
                <w:sz w:val="20"/>
                <w:szCs w:val="20"/>
              </w:rPr>
              <w:t xml:space="preserve">pecialized vehicle to move </w:t>
            </w:r>
            <w:r>
              <w:rPr>
                <w:rFonts w:ascii="Garamond" w:hAnsi="Garamond" w:cstheme="minorHAnsi"/>
                <w:sz w:val="20"/>
                <w:szCs w:val="20"/>
              </w:rPr>
              <w:t xml:space="preserve">light </w:t>
            </w:r>
            <w:r w:rsidRPr="00052F8A">
              <w:rPr>
                <w:rFonts w:ascii="Garamond" w:hAnsi="Garamond" w:cstheme="minorHAnsi"/>
                <w:sz w:val="20"/>
                <w:szCs w:val="20"/>
              </w:rPr>
              <w:t>cargo within ports or other freight facilities</w:t>
            </w:r>
          </w:p>
        </w:tc>
        <w:tc>
          <w:tcPr>
            <w:tcW w:w="1029" w:type="dxa"/>
            <w:shd w:val="clear" w:color="auto" w:fill="auto"/>
            <w:tcMar>
              <w:top w:w="100" w:type="dxa"/>
              <w:left w:w="100" w:type="dxa"/>
              <w:bottom w:w="100" w:type="dxa"/>
              <w:right w:w="100" w:type="dxa"/>
            </w:tcMar>
          </w:tcPr>
          <w:p w14:paraId="2D7F9667" w14:textId="4EEAD734" w:rsidR="00AD4C97" w:rsidRPr="00052F8A" w:rsidRDefault="00AD4C97" w:rsidP="00BC6A5E">
            <w:pPr>
              <w:widowControl w:val="0"/>
              <w:rPr>
                <w:rFonts w:ascii="Garamond" w:hAnsi="Garamond" w:cstheme="minorHAnsi"/>
                <w:sz w:val="20"/>
                <w:szCs w:val="20"/>
              </w:rPr>
            </w:pPr>
            <w:r>
              <w:rPr>
                <w:rFonts w:ascii="Garamond" w:hAnsi="Garamond" w:cstheme="minorHAnsi"/>
                <w:sz w:val="20"/>
                <w:szCs w:val="20"/>
              </w:rPr>
              <w:t>First</w:t>
            </w:r>
          </w:p>
        </w:tc>
        <w:tc>
          <w:tcPr>
            <w:tcW w:w="2630" w:type="dxa"/>
            <w:shd w:val="clear" w:color="auto" w:fill="auto"/>
            <w:tcMar>
              <w:top w:w="100" w:type="dxa"/>
              <w:left w:w="100" w:type="dxa"/>
              <w:bottom w:w="100" w:type="dxa"/>
              <w:right w:w="100" w:type="dxa"/>
            </w:tcMar>
          </w:tcPr>
          <w:p w14:paraId="79F3399B" w14:textId="113C8086"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N/A</w:t>
            </w:r>
          </w:p>
        </w:tc>
        <w:tc>
          <w:tcPr>
            <w:tcW w:w="1260" w:type="dxa"/>
          </w:tcPr>
          <w:p w14:paraId="0FA12DBD" w14:textId="499C821F"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N/A</w:t>
            </w:r>
          </w:p>
        </w:tc>
        <w:tc>
          <w:tcPr>
            <w:tcW w:w="1350" w:type="dxa"/>
            <w:shd w:val="clear" w:color="auto" w:fill="auto"/>
            <w:tcMar>
              <w:top w:w="100" w:type="dxa"/>
              <w:left w:w="100" w:type="dxa"/>
              <w:bottom w:w="100" w:type="dxa"/>
              <w:right w:w="100" w:type="dxa"/>
            </w:tcMar>
          </w:tcPr>
          <w:p w14:paraId="02F5E4CD" w14:textId="06EEBBA4" w:rsidR="00AD4C97" w:rsidRPr="00052F8A" w:rsidRDefault="00AD4C97" w:rsidP="00BC6A5E">
            <w:pPr>
              <w:widowControl w:val="0"/>
              <w:rPr>
                <w:rFonts w:ascii="Garamond" w:hAnsi="Garamond" w:cstheme="minorHAnsi"/>
                <w:sz w:val="20"/>
                <w:szCs w:val="20"/>
              </w:rPr>
            </w:pPr>
            <w:r w:rsidRPr="00052F8A">
              <w:rPr>
                <w:rFonts w:ascii="Garamond" w:hAnsi="Garamond" w:cstheme="minorHAnsi"/>
                <w:sz w:val="20"/>
                <w:szCs w:val="20"/>
              </w:rPr>
              <w:t>Depot</w:t>
            </w:r>
          </w:p>
        </w:tc>
      </w:tr>
      <w:tr w:rsidR="00AD4C97" w:rsidRPr="00075CE6" w14:paraId="50664713" w14:textId="77777777" w:rsidTr="00EA6921">
        <w:trPr>
          <w:trHeight w:val="1749"/>
        </w:trPr>
        <w:tc>
          <w:tcPr>
            <w:tcW w:w="1328" w:type="dxa"/>
            <w:shd w:val="clear" w:color="auto" w:fill="auto"/>
            <w:tcMar>
              <w:top w:w="100" w:type="dxa"/>
              <w:left w:w="100" w:type="dxa"/>
              <w:bottom w:w="100" w:type="dxa"/>
              <w:right w:w="100" w:type="dxa"/>
            </w:tcMar>
          </w:tcPr>
          <w:p w14:paraId="5B4A7B4F" w14:textId="77777777" w:rsidR="00AD4C97" w:rsidRDefault="00AD4C97" w:rsidP="00D36ED2">
            <w:pPr>
              <w:widowControl w:val="0"/>
              <w:rPr>
                <w:rFonts w:ascii="Garamond" w:hAnsi="Garamond" w:cstheme="minorBidi"/>
                <w:b/>
                <w:bCs/>
                <w:sz w:val="20"/>
                <w:szCs w:val="20"/>
              </w:rPr>
            </w:pPr>
            <w:r w:rsidRPr="00052F8A">
              <w:rPr>
                <w:rFonts w:ascii="Garamond" w:hAnsi="Garamond" w:cstheme="minorBidi"/>
                <w:b/>
                <w:bCs/>
                <w:sz w:val="20"/>
                <w:szCs w:val="20"/>
              </w:rPr>
              <w:t>Hostler / Yard Tractor</w:t>
            </w:r>
          </w:p>
          <w:p w14:paraId="3D718B2B" w14:textId="0BDBBB37" w:rsidR="00AD4C97" w:rsidRPr="00052F8A" w:rsidRDefault="00AD4C97" w:rsidP="00D36ED2">
            <w:pPr>
              <w:widowControl w:val="0"/>
              <w:rPr>
                <w:rFonts w:ascii="Garamond" w:hAnsi="Garamond" w:cstheme="minorHAnsi"/>
                <w:b/>
                <w:bCs/>
                <w:sz w:val="20"/>
                <w:szCs w:val="20"/>
              </w:rPr>
            </w:pPr>
            <w:r>
              <w:rPr>
                <w:noProof/>
              </w:rPr>
              <w:drawing>
                <wp:inline distT="0" distB="0" distL="0" distR="0" wp14:anchorId="07A9E4E1" wp14:editId="64FBD6E4">
                  <wp:extent cx="716280" cy="6667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716280" cy="666750"/>
                          </a:xfrm>
                          <a:prstGeom prst="rect">
                            <a:avLst/>
                          </a:prstGeom>
                        </pic:spPr>
                      </pic:pic>
                    </a:graphicData>
                  </a:graphic>
                </wp:inline>
              </w:drawing>
            </w:r>
          </w:p>
        </w:tc>
        <w:tc>
          <w:tcPr>
            <w:tcW w:w="1753" w:type="dxa"/>
            <w:shd w:val="clear" w:color="auto" w:fill="auto"/>
            <w:tcMar>
              <w:top w:w="100" w:type="dxa"/>
              <w:left w:w="100" w:type="dxa"/>
              <w:bottom w:w="100" w:type="dxa"/>
              <w:right w:w="100" w:type="dxa"/>
            </w:tcMar>
          </w:tcPr>
          <w:p w14:paraId="47F4B82D" w14:textId="53F7086D" w:rsidR="00AD4C97" w:rsidRPr="00052F8A" w:rsidRDefault="00AD4C97" w:rsidP="00D36ED2">
            <w:pPr>
              <w:widowControl w:val="0"/>
              <w:rPr>
                <w:rFonts w:ascii="Garamond" w:hAnsi="Garamond" w:cstheme="minorHAnsi"/>
                <w:sz w:val="20"/>
                <w:szCs w:val="20"/>
              </w:rPr>
            </w:pPr>
            <w:r w:rsidRPr="00052F8A">
              <w:rPr>
                <w:rFonts w:ascii="Garamond" w:hAnsi="Garamond" w:cstheme="minorHAnsi"/>
                <w:sz w:val="20"/>
                <w:szCs w:val="20"/>
              </w:rPr>
              <w:t>Truck tractor that operates strictly within a port or other freight facilities</w:t>
            </w:r>
          </w:p>
        </w:tc>
        <w:tc>
          <w:tcPr>
            <w:tcW w:w="1029" w:type="dxa"/>
            <w:shd w:val="clear" w:color="auto" w:fill="auto"/>
            <w:tcMar>
              <w:top w:w="100" w:type="dxa"/>
              <w:left w:w="100" w:type="dxa"/>
              <w:bottom w:w="100" w:type="dxa"/>
              <w:right w:w="100" w:type="dxa"/>
            </w:tcMar>
          </w:tcPr>
          <w:p w14:paraId="124A8219" w14:textId="470B30D6" w:rsidR="00AD4C97" w:rsidRPr="00052F8A" w:rsidRDefault="00AD4C97" w:rsidP="00D36ED2">
            <w:pPr>
              <w:widowControl w:val="0"/>
              <w:rPr>
                <w:rFonts w:ascii="Garamond" w:hAnsi="Garamond" w:cstheme="minorHAnsi"/>
                <w:sz w:val="20"/>
                <w:szCs w:val="20"/>
              </w:rPr>
            </w:pPr>
            <w:r w:rsidRPr="00052F8A">
              <w:rPr>
                <w:rFonts w:ascii="Garamond" w:hAnsi="Garamond" w:cstheme="minorHAnsi"/>
                <w:sz w:val="20"/>
                <w:szCs w:val="20"/>
              </w:rPr>
              <w:t>Second</w:t>
            </w:r>
          </w:p>
        </w:tc>
        <w:tc>
          <w:tcPr>
            <w:tcW w:w="2630" w:type="dxa"/>
            <w:shd w:val="clear" w:color="auto" w:fill="auto"/>
            <w:tcMar>
              <w:top w:w="100" w:type="dxa"/>
              <w:left w:w="100" w:type="dxa"/>
              <w:bottom w:w="100" w:type="dxa"/>
              <w:right w:w="100" w:type="dxa"/>
            </w:tcMar>
          </w:tcPr>
          <w:p w14:paraId="3EA6EE6E" w14:textId="01A5DCC0" w:rsidR="00AD4C97" w:rsidRPr="00052F8A" w:rsidRDefault="00AD4C97" w:rsidP="00D36ED2">
            <w:pPr>
              <w:widowControl w:val="0"/>
              <w:rPr>
                <w:rFonts w:ascii="Garamond" w:hAnsi="Garamond" w:cstheme="minorHAnsi"/>
                <w:sz w:val="20"/>
                <w:szCs w:val="20"/>
              </w:rPr>
            </w:pPr>
            <w:r w:rsidRPr="00052F8A">
              <w:rPr>
                <w:rFonts w:ascii="Garamond" w:hAnsi="Garamond" w:cstheme="minorHAnsi"/>
                <w:sz w:val="20"/>
                <w:szCs w:val="20"/>
              </w:rPr>
              <w:t xml:space="preserve">Light - Heavy Duty / Class 3-8 </w:t>
            </w:r>
          </w:p>
        </w:tc>
        <w:tc>
          <w:tcPr>
            <w:tcW w:w="1260" w:type="dxa"/>
          </w:tcPr>
          <w:p w14:paraId="6A3A6A00" w14:textId="53126586" w:rsidR="00AD4C97" w:rsidRPr="00052F8A" w:rsidRDefault="00AD4C97" w:rsidP="00D36ED2">
            <w:pPr>
              <w:widowControl w:val="0"/>
              <w:rPr>
                <w:rFonts w:ascii="Garamond" w:hAnsi="Garamond" w:cstheme="minorHAnsi"/>
                <w:sz w:val="20"/>
                <w:szCs w:val="20"/>
              </w:rPr>
            </w:pPr>
            <w:r w:rsidRPr="00052F8A">
              <w:rPr>
                <w:rFonts w:ascii="Garamond" w:hAnsi="Garamond" w:cstheme="minorHAnsi"/>
                <w:sz w:val="20"/>
                <w:szCs w:val="20"/>
              </w:rPr>
              <w:t xml:space="preserve">8,600-102,000 </w:t>
            </w:r>
            <w:proofErr w:type="spellStart"/>
            <w:r w:rsidRPr="00052F8A">
              <w:rPr>
                <w:rFonts w:ascii="Garamond" w:hAnsi="Garamond" w:cstheme="minorHAnsi"/>
                <w:sz w:val="20"/>
                <w:szCs w:val="20"/>
              </w:rPr>
              <w:t>lbs</w:t>
            </w:r>
            <w:proofErr w:type="spellEnd"/>
            <w:r w:rsidRPr="00052F8A">
              <w:rPr>
                <w:rFonts w:ascii="Garamond" w:hAnsi="Garamond" w:cstheme="minorHAnsi"/>
                <w:sz w:val="20"/>
                <w:szCs w:val="20"/>
              </w:rPr>
              <w:t xml:space="preserve"> / 3,900-46,266 kg</w:t>
            </w:r>
          </w:p>
        </w:tc>
        <w:tc>
          <w:tcPr>
            <w:tcW w:w="1350" w:type="dxa"/>
            <w:shd w:val="clear" w:color="auto" w:fill="auto"/>
            <w:tcMar>
              <w:top w:w="100" w:type="dxa"/>
              <w:left w:w="100" w:type="dxa"/>
              <w:bottom w:w="100" w:type="dxa"/>
              <w:right w:w="100" w:type="dxa"/>
            </w:tcMar>
          </w:tcPr>
          <w:p w14:paraId="2515CD00" w14:textId="03CDB33B" w:rsidR="00AD4C97" w:rsidRPr="00052F8A" w:rsidRDefault="00AD4C97" w:rsidP="00D36ED2">
            <w:pPr>
              <w:widowControl w:val="0"/>
              <w:rPr>
                <w:rFonts w:ascii="Garamond" w:hAnsi="Garamond" w:cstheme="minorHAnsi"/>
                <w:sz w:val="20"/>
                <w:szCs w:val="20"/>
              </w:rPr>
            </w:pPr>
            <w:r w:rsidRPr="00052F8A">
              <w:rPr>
                <w:rFonts w:ascii="Garamond" w:hAnsi="Garamond" w:cstheme="minorHAnsi"/>
                <w:sz w:val="20"/>
                <w:szCs w:val="20"/>
              </w:rPr>
              <w:t>Depot</w:t>
            </w:r>
          </w:p>
        </w:tc>
      </w:tr>
      <w:tr w:rsidR="00AD4C97" w:rsidRPr="00075CE6" w14:paraId="39105761" w14:textId="77777777" w:rsidTr="00EA6921">
        <w:trPr>
          <w:trHeight w:val="1493"/>
        </w:trPr>
        <w:tc>
          <w:tcPr>
            <w:tcW w:w="1328" w:type="dxa"/>
            <w:shd w:val="clear" w:color="auto" w:fill="auto"/>
            <w:tcMar>
              <w:top w:w="100" w:type="dxa"/>
              <w:left w:w="100" w:type="dxa"/>
              <w:bottom w:w="100" w:type="dxa"/>
              <w:right w:w="100" w:type="dxa"/>
            </w:tcMar>
          </w:tcPr>
          <w:p w14:paraId="377A4747" w14:textId="77777777" w:rsidR="00AD4C97" w:rsidRDefault="00AD4C97" w:rsidP="00D36ED2">
            <w:pPr>
              <w:widowControl w:val="0"/>
              <w:rPr>
                <w:rFonts w:ascii="Garamond" w:hAnsi="Garamond" w:cstheme="minorHAnsi"/>
                <w:b/>
                <w:bCs/>
                <w:sz w:val="20"/>
                <w:szCs w:val="20"/>
              </w:rPr>
            </w:pPr>
            <w:r>
              <w:rPr>
                <w:rFonts w:ascii="Garamond" w:hAnsi="Garamond" w:cstheme="minorHAnsi"/>
                <w:b/>
                <w:bCs/>
                <w:sz w:val="20"/>
                <w:szCs w:val="20"/>
              </w:rPr>
              <w:t>Cargo Handling Equipment</w:t>
            </w:r>
          </w:p>
          <w:p w14:paraId="618E61D9" w14:textId="7FAAACA8" w:rsidR="00AD4C97" w:rsidRPr="00052F8A" w:rsidRDefault="00AD4C97" w:rsidP="00D36ED2">
            <w:pPr>
              <w:widowControl w:val="0"/>
              <w:rPr>
                <w:rFonts w:ascii="Garamond" w:hAnsi="Garamond" w:cstheme="minorHAnsi"/>
                <w:b/>
                <w:bCs/>
                <w:sz w:val="20"/>
                <w:szCs w:val="20"/>
              </w:rPr>
            </w:pPr>
            <w:r>
              <w:rPr>
                <w:noProof/>
              </w:rPr>
              <w:drawing>
                <wp:inline distT="0" distB="0" distL="0" distR="0" wp14:anchorId="0BB30C98" wp14:editId="12DE648F">
                  <wp:extent cx="716280" cy="7162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inline>
              </w:drawing>
            </w:r>
          </w:p>
        </w:tc>
        <w:tc>
          <w:tcPr>
            <w:tcW w:w="1753" w:type="dxa"/>
            <w:shd w:val="clear" w:color="auto" w:fill="auto"/>
            <w:tcMar>
              <w:top w:w="100" w:type="dxa"/>
              <w:left w:w="100" w:type="dxa"/>
              <w:bottom w:w="100" w:type="dxa"/>
              <w:right w:w="100" w:type="dxa"/>
            </w:tcMar>
          </w:tcPr>
          <w:p w14:paraId="2E4CA1F7" w14:textId="38AC26A8" w:rsidR="00AD4C97" w:rsidRPr="00052F8A" w:rsidRDefault="00AD4C97" w:rsidP="00D36ED2">
            <w:pPr>
              <w:widowControl w:val="0"/>
              <w:rPr>
                <w:rFonts w:ascii="Garamond" w:hAnsi="Garamond" w:cstheme="minorHAnsi"/>
                <w:sz w:val="20"/>
                <w:szCs w:val="20"/>
              </w:rPr>
            </w:pPr>
            <w:r>
              <w:rPr>
                <w:rFonts w:ascii="Garamond" w:hAnsi="Garamond" w:cstheme="minorHAnsi"/>
                <w:sz w:val="20"/>
                <w:szCs w:val="20"/>
              </w:rPr>
              <w:t>S</w:t>
            </w:r>
            <w:r w:rsidRPr="00052F8A">
              <w:rPr>
                <w:rFonts w:ascii="Garamond" w:hAnsi="Garamond" w:cstheme="minorHAnsi"/>
                <w:sz w:val="20"/>
                <w:szCs w:val="20"/>
              </w:rPr>
              <w:t>pecialized vehicle to move cargo within ports or other freight facilities</w:t>
            </w:r>
          </w:p>
        </w:tc>
        <w:tc>
          <w:tcPr>
            <w:tcW w:w="1029" w:type="dxa"/>
            <w:shd w:val="clear" w:color="auto" w:fill="auto"/>
            <w:tcMar>
              <w:top w:w="100" w:type="dxa"/>
              <w:left w:w="100" w:type="dxa"/>
              <w:bottom w:w="100" w:type="dxa"/>
              <w:right w:w="100" w:type="dxa"/>
            </w:tcMar>
          </w:tcPr>
          <w:p w14:paraId="4CEE5C4B" w14:textId="5C3C8625" w:rsidR="00AD4C97" w:rsidRPr="00052F8A" w:rsidRDefault="00AD4C97" w:rsidP="00D36ED2">
            <w:pPr>
              <w:widowControl w:val="0"/>
              <w:rPr>
                <w:rFonts w:ascii="Garamond" w:hAnsi="Garamond" w:cstheme="minorHAnsi"/>
                <w:sz w:val="20"/>
                <w:szCs w:val="20"/>
              </w:rPr>
            </w:pPr>
            <w:r w:rsidRPr="00052F8A">
              <w:rPr>
                <w:rFonts w:ascii="Garamond" w:hAnsi="Garamond" w:cstheme="minorHAnsi"/>
                <w:sz w:val="20"/>
                <w:szCs w:val="20"/>
              </w:rPr>
              <w:t>Third</w:t>
            </w:r>
          </w:p>
        </w:tc>
        <w:tc>
          <w:tcPr>
            <w:tcW w:w="2630" w:type="dxa"/>
            <w:shd w:val="clear" w:color="auto" w:fill="auto"/>
            <w:tcMar>
              <w:top w:w="100" w:type="dxa"/>
              <w:left w:w="100" w:type="dxa"/>
              <w:bottom w:w="100" w:type="dxa"/>
              <w:right w:w="100" w:type="dxa"/>
            </w:tcMar>
          </w:tcPr>
          <w:p w14:paraId="0B18F6FF" w14:textId="4281E872" w:rsidR="00AD4C97" w:rsidRPr="00052F8A" w:rsidRDefault="00AD4C97" w:rsidP="00D36ED2">
            <w:pPr>
              <w:widowControl w:val="0"/>
              <w:rPr>
                <w:rFonts w:ascii="Garamond" w:hAnsi="Garamond" w:cstheme="minorHAnsi"/>
                <w:sz w:val="20"/>
                <w:szCs w:val="20"/>
              </w:rPr>
            </w:pPr>
            <w:r w:rsidRPr="00052F8A">
              <w:rPr>
                <w:rFonts w:ascii="Garamond" w:hAnsi="Garamond" w:cstheme="minorHAnsi"/>
                <w:sz w:val="20"/>
                <w:szCs w:val="20"/>
              </w:rPr>
              <w:t>N/A</w:t>
            </w:r>
          </w:p>
        </w:tc>
        <w:tc>
          <w:tcPr>
            <w:tcW w:w="1260" w:type="dxa"/>
          </w:tcPr>
          <w:p w14:paraId="78B3B02A" w14:textId="142B89CA" w:rsidR="00AD4C97" w:rsidRPr="00052F8A" w:rsidRDefault="00AD4C97" w:rsidP="00D36ED2">
            <w:pPr>
              <w:widowControl w:val="0"/>
              <w:rPr>
                <w:rFonts w:ascii="Garamond" w:hAnsi="Garamond" w:cstheme="minorHAnsi"/>
                <w:sz w:val="20"/>
                <w:szCs w:val="20"/>
              </w:rPr>
            </w:pPr>
            <w:r w:rsidRPr="00052F8A">
              <w:rPr>
                <w:rFonts w:ascii="Garamond" w:hAnsi="Garamond" w:cstheme="minorHAnsi"/>
                <w:sz w:val="20"/>
                <w:szCs w:val="20"/>
              </w:rPr>
              <w:t>N/A</w:t>
            </w:r>
          </w:p>
        </w:tc>
        <w:tc>
          <w:tcPr>
            <w:tcW w:w="1350" w:type="dxa"/>
            <w:shd w:val="clear" w:color="auto" w:fill="auto"/>
            <w:tcMar>
              <w:top w:w="100" w:type="dxa"/>
              <w:left w:w="100" w:type="dxa"/>
              <w:bottom w:w="100" w:type="dxa"/>
              <w:right w:w="100" w:type="dxa"/>
            </w:tcMar>
          </w:tcPr>
          <w:p w14:paraId="57C8451D" w14:textId="6551C6A0" w:rsidR="00AD4C97" w:rsidRPr="00052F8A" w:rsidRDefault="00AD4C97" w:rsidP="00D36ED2">
            <w:pPr>
              <w:widowControl w:val="0"/>
              <w:rPr>
                <w:rFonts w:ascii="Garamond" w:hAnsi="Garamond" w:cstheme="minorHAnsi"/>
                <w:sz w:val="20"/>
                <w:szCs w:val="20"/>
              </w:rPr>
            </w:pPr>
            <w:r w:rsidRPr="00052F8A">
              <w:rPr>
                <w:rFonts w:ascii="Garamond" w:hAnsi="Garamond" w:cstheme="minorHAnsi"/>
                <w:sz w:val="20"/>
                <w:szCs w:val="20"/>
              </w:rPr>
              <w:t>Depot</w:t>
            </w:r>
          </w:p>
        </w:tc>
      </w:tr>
      <w:tr w:rsidR="00AD4C97" w:rsidRPr="00075CE6" w14:paraId="182C0C0D" w14:textId="77777777" w:rsidTr="00EA6921">
        <w:trPr>
          <w:trHeight w:val="1493"/>
        </w:trPr>
        <w:tc>
          <w:tcPr>
            <w:tcW w:w="1328" w:type="dxa"/>
            <w:shd w:val="clear" w:color="auto" w:fill="auto"/>
            <w:tcMar>
              <w:top w:w="100" w:type="dxa"/>
              <w:left w:w="100" w:type="dxa"/>
              <w:bottom w:w="100" w:type="dxa"/>
              <w:right w:w="100" w:type="dxa"/>
            </w:tcMar>
          </w:tcPr>
          <w:p w14:paraId="3576CAEC" w14:textId="77777777" w:rsidR="00AD4C97" w:rsidRDefault="00AD4C97" w:rsidP="00D36ED2">
            <w:pPr>
              <w:widowControl w:val="0"/>
              <w:rPr>
                <w:rFonts w:ascii="Garamond" w:hAnsi="Garamond" w:cstheme="minorHAnsi"/>
                <w:b/>
                <w:bCs/>
                <w:sz w:val="20"/>
                <w:szCs w:val="20"/>
              </w:rPr>
            </w:pPr>
            <w:r>
              <w:rPr>
                <w:rFonts w:ascii="Garamond" w:hAnsi="Garamond" w:cstheme="minorHAnsi"/>
                <w:b/>
                <w:bCs/>
                <w:sz w:val="20"/>
                <w:szCs w:val="20"/>
              </w:rPr>
              <w:t>Marine Harbor Craft</w:t>
            </w:r>
          </w:p>
          <w:p w14:paraId="64DDE7C2" w14:textId="4B339C59" w:rsidR="00AD4C97" w:rsidRPr="00052F8A" w:rsidRDefault="00AD4C97" w:rsidP="00D36ED2">
            <w:pPr>
              <w:widowControl w:val="0"/>
              <w:rPr>
                <w:rFonts w:ascii="Garamond" w:hAnsi="Garamond" w:cstheme="minorHAnsi"/>
                <w:b/>
                <w:bCs/>
                <w:sz w:val="20"/>
                <w:szCs w:val="20"/>
              </w:rPr>
            </w:pPr>
            <w:r>
              <w:rPr>
                <w:noProof/>
              </w:rPr>
              <w:drawing>
                <wp:inline distT="0" distB="0" distL="0" distR="0" wp14:anchorId="4655FA46" wp14:editId="11A8EC90">
                  <wp:extent cx="716280" cy="7162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inline>
              </w:drawing>
            </w:r>
          </w:p>
        </w:tc>
        <w:tc>
          <w:tcPr>
            <w:tcW w:w="1753" w:type="dxa"/>
            <w:shd w:val="clear" w:color="auto" w:fill="auto"/>
            <w:tcMar>
              <w:top w:w="100" w:type="dxa"/>
              <w:left w:w="100" w:type="dxa"/>
              <w:bottom w:w="100" w:type="dxa"/>
              <w:right w:w="100" w:type="dxa"/>
            </w:tcMar>
          </w:tcPr>
          <w:p w14:paraId="3010ECE5" w14:textId="04F9476B" w:rsidR="00AD4C97" w:rsidRPr="00052F8A" w:rsidRDefault="00AD4C97" w:rsidP="00D36ED2">
            <w:pPr>
              <w:widowControl w:val="0"/>
              <w:rPr>
                <w:rFonts w:ascii="Garamond" w:hAnsi="Garamond" w:cstheme="minorHAnsi"/>
                <w:sz w:val="20"/>
                <w:szCs w:val="20"/>
              </w:rPr>
            </w:pPr>
            <w:r>
              <w:rPr>
                <w:rFonts w:ascii="Garamond" w:hAnsi="Garamond" w:cstheme="minorHAnsi"/>
                <w:sz w:val="20"/>
                <w:szCs w:val="20"/>
              </w:rPr>
              <w:t>Marine vehicles that operate short distances and return to base (e.g. ferries and tugs)</w:t>
            </w:r>
          </w:p>
        </w:tc>
        <w:tc>
          <w:tcPr>
            <w:tcW w:w="1029" w:type="dxa"/>
            <w:shd w:val="clear" w:color="auto" w:fill="auto"/>
            <w:tcMar>
              <w:top w:w="100" w:type="dxa"/>
              <w:left w:w="100" w:type="dxa"/>
              <w:bottom w:w="100" w:type="dxa"/>
              <w:right w:w="100" w:type="dxa"/>
            </w:tcMar>
          </w:tcPr>
          <w:p w14:paraId="145CEADB" w14:textId="65FE80A8" w:rsidR="00AD4C97" w:rsidRPr="00052F8A" w:rsidRDefault="00AD4C97" w:rsidP="00D36ED2">
            <w:pPr>
              <w:widowControl w:val="0"/>
              <w:rPr>
                <w:rFonts w:ascii="Garamond" w:hAnsi="Garamond" w:cstheme="minorHAnsi"/>
                <w:sz w:val="20"/>
                <w:szCs w:val="20"/>
              </w:rPr>
            </w:pPr>
            <w:r>
              <w:rPr>
                <w:rFonts w:ascii="Garamond" w:hAnsi="Garamond" w:cstheme="minorHAnsi"/>
                <w:sz w:val="20"/>
                <w:szCs w:val="20"/>
              </w:rPr>
              <w:t>Fourth</w:t>
            </w:r>
          </w:p>
        </w:tc>
        <w:tc>
          <w:tcPr>
            <w:tcW w:w="2630" w:type="dxa"/>
            <w:shd w:val="clear" w:color="auto" w:fill="auto"/>
            <w:tcMar>
              <w:top w:w="100" w:type="dxa"/>
              <w:left w:w="100" w:type="dxa"/>
              <w:bottom w:w="100" w:type="dxa"/>
              <w:right w:w="100" w:type="dxa"/>
            </w:tcMar>
          </w:tcPr>
          <w:p w14:paraId="4BAA88FB" w14:textId="7395E689" w:rsidR="00AD4C97" w:rsidRPr="00052F8A" w:rsidRDefault="00AD4C97" w:rsidP="00D36ED2">
            <w:pPr>
              <w:widowControl w:val="0"/>
              <w:rPr>
                <w:rFonts w:ascii="Garamond" w:hAnsi="Garamond" w:cstheme="minorHAnsi"/>
                <w:sz w:val="20"/>
                <w:szCs w:val="20"/>
              </w:rPr>
            </w:pPr>
            <w:r>
              <w:rPr>
                <w:rFonts w:ascii="Garamond" w:hAnsi="Garamond" w:cstheme="minorHAnsi"/>
                <w:sz w:val="20"/>
                <w:szCs w:val="20"/>
              </w:rPr>
              <w:t>N/A</w:t>
            </w:r>
          </w:p>
        </w:tc>
        <w:tc>
          <w:tcPr>
            <w:tcW w:w="1260" w:type="dxa"/>
          </w:tcPr>
          <w:p w14:paraId="6855F294" w14:textId="23D08546" w:rsidR="00AD4C97" w:rsidRPr="00052F8A" w:rsidRDefault="00AD4C97" w:rsidP="00D36ED2">
            <w:pPr>
              <w:widowControl w:val="0"/>
              <w:rPr>
                <w:rFonts w:ascii="Garamond" w:hAnsi="Garamond" w:cstheme="minorHAnsi"/>
                <w:sz w:val="20"/>
                <w:szCs w:val="20"/>
              </w:rPr>
            </w:pPr>
            <w:r>
              <w:rPr>
                <w:rFonts w:ascii="Garamond" w:hAnsi="Garamond" w:cstheme="minorHAnsi"/>
                <w:sz w:val="20"/>
                <w:szCs w:val="20"/>
              </w:rPr>
              <w:t>N/A</w:t>
            </w:r>
          </w:p>
        </w:tc>
        <w:tc>
          <w:tcPr>
            <w:tcW w:w="1350" w:type="dxa"/>
            <w:shd w:val="clear" w:color="auto" w:fill="auto"/>
            <w:tcMar>
              <w:top w:w="100" w:type="dxa"/>
              <w:left w:w="100" w:type="dxa"/>
              <w:bottom w:w="100" w:type="dxa"/>
              <w:right w:w="100" w:type="dxa"/>
            </w:tcMar>
          </w:tcPr>
          <w:p w14:paraId="4447F919" w14:textId="07B86893" w:rsidR="00AD4C97" w:rsidRPr="00052F8A" w:rsidRDefault="00AD4C97" w:rsidP="00D36ED2">
            <w:pPr>
              <w:widowControl w:val="0"/>
              <w:rPr>
                <w:rFonts w:ascii="Garamond" w:hAnsi="Garamond" w:cstheme="minorHAnsi"/>
                <w:sz w:val="20"/>
                <w:szCs w:val="20"/>
              </w:rPr>
            </w:pPr>
            <w:r>
              <w:rPr>
                <w:rFonts w:ascii="Garamond" w:hAnsi="Garamond" w:cstheme="minorHAnsi"/>
                <w:sz w:val="20"/>
                <w:szCs w:val="20"/>
              </w:rPr>
              <w:t>Depot</w:t>
            </w:r>
          </w:p>
        </w:tc>
      </w:tr>
      <w:tr w:rsidR="00AD4C97" w:rsidRPr="00075CE6" w14:paraId="55F14022" w14:textId="77777777" w:rsidTr="00EA6921">
        <w:trPr>
          <w:trHeight w:val="1493"/>
        </w:trPr>
        <w:tc>
          <w:tcPr>
            <w:tcW w:w="1328" w:type="dxa"/>
            <w:shd w:val="clear" w:color="auto" w:fill="auto"/>
            <w:tcMar>
              <w:top w:w="100" w:type="dxa"/>
              <w:left w:w="100" w:type="dxa"/>
              <w:bottom w:w="100" w:type="dxa"/>
              <w:right w:w="100" w:type="dxa"/>
            </w:tcMar>
          </w:tcPr>
          <w:p w14:paraId="36CA19A0" w14:textId="77777777" w:rsidR="00AD4C97" w:rsidRDefault="00AD4C97" w:rsidP="00D36ED2">
            <w:pPr>
              <w:widowControl w:val="0"/>
              <w:rPr>
                <w:rFonts w:ascii="Garamond" w:hAnsi="Garamond" w:cstheme="minorHAnsi"/>
                <w:b/>
                <w:bCs/>
                <w:sz w:val="20"/>
                <w:szCs w:val="20"/>
              </w:rPr>
            </w:pPr>
            <w:r>
              <w:rPr>
                <w:rFonts w:ascii="Garamond" w:hAnsi="Garamond" w:cstheme="minorHAnsi"/>
                <w:b/>
                <w:bCs/>
                <w:sz w:val="20"/>
                <w:szCs w:val="20"/>
              </w:rPr>
              <w:t>Heavy Cargo Handling Equipment</w:t>
            </w:r>
          </w:p>
          <w:p w14:paraId="12A7E4C4" w14:textId="1B87BA9A" w:rsidR="00AD4C97" w:rsidRDefault="00AD4C97" w:rsidP="00D36ED2">
            <w:pPr>
              <w:widowControl w:val="0"/>
              <w:rPr>
                <w:rFonts w:ascii="Garamond" w:hAnsi="Garamond" w:cstheme="minorHAnsi"/>
                <w:b/>
                <w:bCs/>
                <w:sz w:val="20"/>
                <w:szCs w:val="20"/>
              </w:rPr>
            </w:pPr>
            <w:r>
              <w:rPr>
                <w:noProof/>
              </w:rPr>
              <w:drawing>
                <wp:inline distT="0" distB="0" distL="0" distR="0" wp14:anchorId="4397CB35" wp14:editId="2B54721F">
                  <wp:extent cx="716280" cy="7162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inline>
              </w:drawing>
            </w:r>
          </w:p>
        </w:tc>
        <w:tc>
          <w:tcPr>
            <w:tcW w:w="1753" w:type="dxa"/>
            <w:shd w:val="clear" w:color="auto" w:fill="auto"/>
            <w:tcMar>
              <w:top w:w="100" w:type="dxa"/>
              <w:left w:w="100" w:type="dxa"/>
              <w:bottom w:w="100" w:type="dxa"/>
              <w:right w:w="100" w:type="dxa"/>
            </w:tcMar>
          </w:tcPr>
          <w:p w14:paraId="4DFFDF43" w14:textId="1A295830" w:rsidR="00AD4C97" w:rsidRPr="00052F8A" w:rsidRDefault="00AD4C97" w:rsidP="00D36ED2">
            <w:pPr>
              <w:widowControl w:val="0"/>
              <w:rPr>
                <w:rFonts w:ascii="Garamond" w:hAnsi="Garamond" w:cstheme="minorHAnsi"/>
                <w:sz w:val="20"/>
                <w:szCs w:val="20"/>
              </w:rPr>
            </w:pPr>
            <w:r>
              <w:rPr>
                <w:rFonts w:ascii="Garamond" w:hAnsi="Garamond" w:cstheme="minorHAnsi"/>
                <w:sz w:val="20"/>
                <w:szCs w:val="20"/>
              </w:rPr>
              <w:t>Large s</w:t>
            </w:r>
            <w:r w:rsidRPr="00052F8A">
              <w:rPr>
                <w:rFonts w:ascii="Garamond" w:hAnsi="Garamond" w:cstheme="minorHAnsi"/>
                <w:sz w:val="20"/>
                <w:szCs w:val="20"/>
              </w:rPr>
              <w:t xml:space="preserve">pecialized vehicle to move </w:t>
            </w:r>
            <w:r>
              <w:rPr>
                <w:rFonts w:ascii="Garamond" w:hAnsi="Garamond" w:cstheme="minorHAnsi"/>
                <w:sz w:val="20"/>
                <w:szCs w:val="20"/>
              </w:rPr>
              <w:t xml:space="preserve">heavy </w:t>
            </w:r>
            <w:r w:rsidRPr="00052F8A">
              <w:rPr>
                <w:rFonts w:ascii="Garamond" w:hAnsi="Garamond" w:cstheme="minorHAnsi"/>
                <w:sz w:val="20"/>
                <w:szCs w:val="20"/>
              </w:rPr>
              <w:t>cargo within ports or other freight facilities</w:t>
            </w:r>
          </w:p>
        </w:tc>
        <w:tc>
          <w:tcPr>
            <w:tcW w:w="1029" w:type="dxa"/>
            <w:shd w:val="clear" w:color="auto" w:fill="auto"/>
            <w:tcMar>
              <w:top w:w="100" w:type="dxa"/>
              <w:left w:w="100" w:type="dxa"/>
              <w:bottom w:w="100" w:type="dxa"/>
              <w:right w:w="100" w:type="dxa"/>
            </w:tcMar>
          </w:tcPr>
          <w:p w14:paraId="6C24DFAF" w14:textId="4AF721EF" w:rsidR="00AD4C97" w:rsidRPr="00052F8A" w:rsidRDefault="00AD4C97" w:rsidP="00D36ED2">
            <w:pPr>
              <w:widowControl w:val="0"/>
              <w:rPr>
                <w:rFonts w:ascii="Garamond" w:hAnsi="Garamond" w:cstheme="minorHAnsi"/>
                <w:sz w:val="20"/>
                <w:szCs w:val="20"/>
              </w:rPr>
            </w:pPr>
            <w:r>
              <w:rPr>
                <w:rFonts w:ascii="Garamond" w:hAnsi="Garamond" w:cstheme="minorHAnsi"/>
                <w:sz w:val="20"/>
                <w:szCs w:val="20"/>
              </w:rPr>
              <w:t>Fourth</w:t>
            </w:r>
          </w:p>
        </w:tc>
        <w:tc>
          <w:tcPr>
            <w:tcW w:w="2630" w:type="dxa"/>
            <w:shd w:val="clear" w:color="auto" w:fill="auto"/>
            <w:tcMar>
              <w:top w:w="100" w:type="dxa"/>
              <w:left w:w="100" w:type="dxa"/>
              <w:bottom w:w="100" w:type="dxa"/>
              <w:right w:w="100" w:type="dxa"/>
            </w:tcMar>
          </w:tcPr>
          <w:p w14:paraId="5DA62E50" w14:textId="57855C65" w:rsidR="00AD4C97" w:rsidRPr="00052F8A" w:rsidRDefault="00AD4C97" w:rsidP="00D36ED2">
            <w:pPr>
              <w:widowControl w:val="0"/>
              <w:rPr>
                <w:rFonts w:ascii="Garamond" w:hAnsi="Garamond" w:cstheme="minorHAnsi"/>
                <w:sz w:val="20"/>
                <w:szCs w:val="20"/>
              </w:rPr>
            </w:pPr>
            <w:r>
              <w:rPr>
                <w:rFonts w:ascii="Garamond" w:hAnsi="Garamond" w:cstheme="minorHAnsi"/>
                <w:sz w:val="20"/>
                <w:szCs w:val="20"/>
              </w:rPr>
              <w:t>N/A</w:t>
            </w:r>
          </w:p>
        </w:tc>
        <w:tc>
          <w:tcPr>
            <w:tcW w:w="1260" w:type="dxa"/>
          </w:tcPr>
          <w:p w14:paraId="4B4BA913" w14:textId="5F9CF46F" w:rsidR="00AD4C97" w:rsidRPr="00052F8A" w:rsidRDefault="00AD4C97" w:rsidP="00D36ED2">
            <w:pPr>
              <w:widowControl w:val="0"/>
              <w:rPr>
                <w:rFonts w:ascii="Garamond" w:hAnsi="Garamond" w:cstheme="minorHAnsi"/>
                <w:sz w:val="20"/>
                <w:szCs w:val="20"/>
              </w:rPr>
            </w:pPr>
            <w:r>
              <w:rPr>
                <w:rFonts w:ascii="Garamond" w:hAnsi="Garamond" w:cstheme="minorHAnsi"/>
                <w:sz w:val="20"/>
                <w:szCs w:val="20"/>
              </w:rPr>
              <w:t>N/A</w:t>
            </w:r>
          </w:p>
        </w:tc>
        <w:tc>
          <w:tcPr>
            <w:tcW w:w="1350" w:type="dxa"/>
            <w:shd w:val="clear" w:color="auto" w:fill="auto"/>
            <w:tcMar>
              <w:top w:w="100" w:type="dxa"/>
              <w:left w:w="100" w:type="dxa"/>
              <w:bottom w:w="100" w:type="dxa"/>
              <w:right w:w="100" w:type="dxa"/>
            </w:tcMar>
          </w:tcPr>
          <w:p w14:paraId="30A21AF7" w14:textId="512CA159" w:rsidR="00AD4C97" w:rsidRPr="00052F8A" w:rsidRDefault="00AD4C97" w:rsidP="00D36ED2">
            <w:pPr>
              <w:widowControl w:val="0"/>
              <w:rPr>
                <w:rFonts w:ascii="Garamond" w:hAnsi="Garamond" w:cstheme="minorHAnsi"/>
                <w:sz w:val="20"/>
                <w:szCs w:val="20"/>
              </w:rPr>
            </w:pPr>
            <w:r>
              <w:rPr>
                <w:rFonts w:ascii="Garamond" w:hAnsi="Garamond" w:cstheme="minorHAnsi"/>
                <w:sz w:val="20"/>
                <w:szCs w:val="20"/>
              </w:rPr>
              <w:t>Depot</w:t>
            </w:r>
          </w:p>
        </w:tc>
      </w:tr>
    </w:tbl>
    <w:p w14:paraId="173F40F0" w14:textId="7CE6E5CA" w:rsidR="00AD4C97" w:rsidRPr="00052F8A" w:rsidRDefault="00AD4C97" w:rsidP="00EA6921">
      <w:pPr>
        <w:pStyle w:val="Heading2"/>
      </w:pPr>
      <w:bookmarkStart w:id="15" w:name="_Hlk52795242"/>
      <w:bookmarkStart w:id="16" w:name="_Toc53065361"/>
      <w:r w:rsidRPr="00052F8A">
        <w:t xml:space="preserve">Infrastructure Needs </w:t>
      </w:r>
      <w:bookmarkEnd w:id="15"/>
      <w:r w:rsidRPr="00052F8A">
        <w:t>and Strategies for Emerging Technologies</w:t>
      </w:r>
      <w:bookmarkEnd w:id="16"/>
    </w:p>
    <w:p w14:paraId="505814D9" w14:textId="5319F16C" w:rsidR="00AD4C97" w:rsidRPr="00052F8A" w:rsidRDefault="00AD4C97" w:rsidP="00CE3C2B">
      <w:pPr>
        <w:jc w:val="both"/>
        <w:rPr>
          <w:rFonts w:ascii="Garamond" w:hAnsi="Garamond"/>
        </w:rPr>
      </w:pPr>
      <w:r w:rsidRPr="00052F8A">
        <w:rPr>
          <w:rFonts w:ascii="Garamond" w:hAnsi="Garamond"/>
        </w:rPr>
        <w:t>Charging and fueling infrastructure availability is a critical component to the successful commercialization of ZECVs. As shown in Table</w:t>
      </w:r>
      <w:r w:rsidR="005E275A">
        <w:rPr>
          <w:rFonts w:ascii="Garamond" w:hAnsi="Garamond"/>
        </w:rPr>
        <w:t>s</w:t>
      </w:r>
      <w:r w:rsidRPr="00052F8A">
        <w:rPr>
          <w:rFonts w:ascii="Garamond" w:hAnsi="Garamond"/>
        </w:rPr>
        <w:t xml:space="preserve"> 1 and 2, different vehicle types may have distinct and varying methods of charging or refueling. Nearly all vehicles should be able to charge</w:t>
      </w:r>
      <w:r w:rsidR="00C860EC">
        <w:rPr>
          <w:rFonts w:ascii="Garamond" w:hAnsi="Garamond"/>
        </w:rPr>
        <w:t xml:space="preserve"> </w:t>
      </w:r>
      <w:r w:rsidRPr="00052F8A">
        <w:rPr>
          <w:rFonts w:ascii="Garamond" w:hAnsi="Garamond"/>
        </w:rPr>
        <w:t>in a depot when idle</w:t>
      </w:r>
      <w:r w:rsidR="00C860EC">
        <w:rPr>
          <w:rFonts w:ascii="Garamond" w:hAnsi="Garamond"/>
        </w:rPr>
        <w:t>, which</w:t>
      </w:r>
      <w:r w:rsidR="0021578A">
        <w:rPr>
          <w:rFonts w:ascii="Garamond" w:hAnsi="Garamond"/>
        </w:rPr>
        <w:t xml:space="preserve"> makes efficient use of </w:t>
      </w:r>
      <w:r w:rsidR="00D74A89">
        <w:rPr>
          <w:rFonts w:ascii="Garamond" w:hAnsi="Garamond"/>
        </w:rPr>
        <w:t xml:space="preserve">vehicle operator time and may reduce costs due to charging </w:t>
      </w:r>
      <w:r w:rsidR="00D74A89">
        <w:rPr>
          <w:rFonts w:ascii="Garamond" w:hAnsi="Garamond"/>
        </w:rPr>
        <w:lastRenderedPageBreak/>
        <w:t xml:space="preserve">at </w:t>
      </w:r>
      <w:r w:rsidR="00DE19BB">
        <w:rPr>
          <w:rFonts w:ascii="Garamond" w:hAnsi="Garamond"/>
        </w:rPr>
        <w:t>low speeds</w:t>
      </w:r>
      <w:r w:rsidRPr="00052F8A">
        <w:rPr>
          <w:rFonts w:ascii="Garamond" w:hAnsi="Garamond"/>
        </w:rPr>
        <w:t>. Vehicles with long</w:t>
      </w:r>
      <w:r w:rsidR="00A535F7">
        <w:rPr>
          <w:rFonts w:ascii="Garamond" w:hAnsi="Garamond"/>
        </w:rPr>
        <w:t>er</w:t>
      </w:r>
      <w:r w:rsidRPr="00052F8A">
        <w:rPr>
          <w:rFonts w:ascii="Garamond" w:hAnsi="Garamond"/>
        </w:rPr>
        <w:t xml:space="preserve"> operational routes or </w:t>
      </w:r>
      <w:r w:rsidR="00A535F7">
        <w:rPr>
          <w:rFonts w:ascii="Garamond" w:hAnsi="Garamond"/>
        </w:rPr>
        <w:t xml:space="preserve">smaller </w:t>
      </w:r>
      <w:r w:rsidRPr="00052F8A">
        <w:rPr>
          <w:rFonts w:ascii="Garamond" w:hAnsi="Garamond"/>
        </w:rPr>
        <w:t xml:space="preserve">battery capacities may </w:t>
      </w:r>
      <w:r w:rsidR="00DE19BB">
        <w:rPr>
          <w:rFonts w:ascii="Garamond" w:hAnsi="Garamond"/>
        </w:rPr>
        <w:t xml:space="preserve">also </w:t>
      </w:r>
      <w:r w:rsidRPr="00052F8A">
        <w:rPr>
          <w:rFonts w:ascii="Garamond" w:hAnsi="Garamond"/>
        </w:rPr>
        <w:t xml:space="preserve">need to charge during operation. Those vehicles operating on predictable routes such as transit buses or drayage trucks may use on-route chargers or stations reserved for their use, whereas vehicles with highly variable routes such as delivery trucks and vans may take advantage of publicly available chargers or stations as opportunities provide. Long-haul trucks will rely predominantly on hydrogen stations </w:t>
      </w:r>
      <w:r>
        <w:rPr>
          <w:rFonts w:ascii="Garamond" w:hAnsi="Garamond"/>
        </w:rPr>
        <w:t xml:space="preserve">or </w:t>
      </w:r>
      <w:r w:rsidRPr="00052F8A">
        <w:rPr>
          <w:rFonts w:ascii="Garamond" w:hAnsi="Garamond"/>
        </w:rPr>
        <w:t xml:space="preserve">high-powered </w:t>
      </w:r>
      <w:r>
        <w:rPr>
          <w:rFonts w:ascii="Garamond" w:hAnsi="Garamond"/>
        </w:rPr>
        <w:t>direct current (</w:t>
      </w:r>
      <w:r w:rsidRPr="00052F8A">
        <w:rPr>
          <w:rFonts w:ascii="Garamond" w:hAnsi="Garamond"/>
        </w:rPr>
        <w:t>DC</w:t>
      </w:r>
      <w:r>
        <w:rPr>
          <w:rFonts w:ascii="Garamond" w:hAnsi="Garamond"/>
        </w:rPr>
        <w:t>)</w:t>
      </w:r>
      <w:r w:rsidRPr="00052F8A">
        <w:rPr>
          <w:rFonts w:ascii="Garamond" w:hAnsi="Garamond"/>
        </w:rPr>
        <w:t xml:space="preserve"> charging stations </w:t>
      </w:r>
      <w:r>
        <w:rPr>
          <w:rFonts w:ascii="Garamond" w:hAnsi="Garamond"/>
        </w:rPr>
        <w:t>capable of rapid charging</w:t>
      </w:r>
      <w:r w:rsidRPr="00052F8A">
        <w:rPr>
          <w:rFonts w:ascii="Garamond" w:hAnsi="Garamond"/>
        </w:rPr>
        <w:t xml:space="preserve"> located along major travel corridors</w:t>
      </w:r>
      <w:r w:rsidR="00C16990">
        <w:rPr>
          <w:rFonts w:ascii="Garamond" w:hAnsi="Garamond"/>
        </w:rPr>
        <w:t xml:space="preserve">, while </w:t>
      </w:r>
      <w:r w:rsidRPr="00052F8A">
        <w:rPr>
          <w:rFonts w:ascii="Garamond" w:hAnsi="Garamond"/>
        </w:rPr>
        <w:t>mak</w:t>
      </w:r>
      <w:r w:rsidR="00133F97">
        <w:rPr>
          <w:rFonts w:ascii="Garamond" w:hAnsi="Garamond"/>
        </w:rPr>
        <w:t>ing</w:t>
      </w:r>
      <w:r w:rsidRPr="00052F8A">
        <w:rPr>
          <w:rFonts w:ascii="Garamond" w:hAnsi="Garamond"/>
        </w:rPr>
        <w:t xml:space="preserve"> selective use of depot charging</w:t>
      </w:r>
      <w:r w:rsidR="00133F97">
        <w:rPr>
          <w:rFonts w:ascii="Garamond" w:hAnsi="Garamond"/>
        </w:rPr>
        <w:t>.</w:t>
      </w:r>
    </w:p>
    <w:p w14:paraId="3FAC64B5" w14:textId="77777777" w:rsidR="00AD4C97" w:rsidRPr="00052F8A" w:rsidRDefault="00AD4C97" w:rsidP="00CE3C2B">
      <w:pPr>
        <w:jc w:val="both"/>
        <w:rPr>
          <w:rFonts w:ascii="Garamond" w:hAnsi="Garamond"/>
        </w:rPr>
      </w:pPr>
    </w:p>
    <w:p w14:paraId="3F59D443" w14:textId="254F8EE2" w:rsidR="00AD4C97" w:rsidRPr="00052F8A" w:rsidRDefault="00AD4C97" w:rsidP="00CE3C2B">
      <w:pPr>
        <w:jc w:val="both"/>
        <w:rPr>
          <w:rFonts w:ascii="Garamond" w:hAnsi="Garamond"/>
        </w:rPr>
      </w:pPr>
      <w:r w:rsidRPr="00052F8A">
        <w:rPr>
          <w:rFonts w:ascii="Garamond" w:hAnsi="Garamond"/>
        </w:rPr>
        <w:t xml:space="preserve">Some unique beachhead applications can potentially use shared depot infrastructure. For example, marine harbor craft, cargo handling equipment, yard tractors, and drayage trucks operate at shipping terminals and warehouses and </w:t>
      </w:r>
      <w:r>
        <w:rPr>
          <w:rFonts w:ascii="Garamond" w:hAnsi="Garamond"/>
        </w:rPr>
        <w:t>may be able to</w:t>
      </w:r>
      <w:r w:rsidRPr="00052F8A">
        <w:rPr>
          <w:rFonts w:ascii="Garamond" w:hAnsi="Garamond"/>
        </w:rPr>
        <w:t xml:space="preserve"> leverage</w:t>
      </w:r>
      <w:r>
        <w:rPr>
          <w:rFonts w:ascii="Garamond" w:hAnsi="Garamond"/>
        </w:rPr>
        <w:t xml:space="preserve"> shared</w:t>
      </w:r>
      <w:r w:rsidRPr="00052F8A">
        <w:rPr>
          <w:rFonts w:ascii="Garamond" w:hAnsi="Garamond"/>
        </w:rPr>
        <w:t xml:space="preserve"> infrastructure investments. </w:t>
      </w:r>
      <w:r>
        <w:rPr>
          <w:rFonts w:ascii="Garamond" w:hAnsi="Garamond"/>
        </w:rPr>
        <w:t xml:space="preserve">On-road vehicles, such as regional haul trucks, yard tractors, and other ZECV applications may also be able to use common charging spaces. </w:t>
      </w:r>
      <w:r w:rsidR="00BE59E6">
        <w:rPr>
          <w:rFonts w:ascii="Garamond" w:hAnsi="Garamond"/>
        </w:rPr>
        <w:t xml:space="preserve">The </w:t>
      </w:r>
      <w:r w:rsidR="00240415">
        <w:rPr>
          <w:rFonts w:ascii="Garamond" w:hAnsi="Garamond"/>
        </w:rPr>
        <w:t>potential for</w:t>
      </w:r>
      <w:r w:rsidR="00BE59E6">
        <w:rPr>
          <w:rFonts w:ascii="Garamond" w:hAnsi="Garamond"/>
        </w:rPr>
        <w:t xml:space="preserve"> shared-use facilities is being demonstrated </w:t>
      </w:r>
      <w:r w:rsidR="00240415">
        <w:rPr>
          <w:rFonts w:ascii="Garamond" w:hAnsi="Garamond"/>
        </w:rPr>
        <w:t>through t</w:t>
      </w:r>
      <w:r w:rsidRPr="00987141">
        <w:rPr>
          <w:rFonts w:ascii="Garamond" w:hAnsi="Garamond"/>
        </w:rPr>
        <w:t xml:space="preserve">he </w:t>
      </w:r>
      <w:r w:rsidR="00E46258">
        <w:rPr>
          <w:rFonts w:ascii="Garamond" w:hAnsi="Garamond"/>
        </w:rPr>
        <w:t xml:space="preserve">Volvo LIGHTS project, </w:t>
      </w:r>
      <w:r w:rsidR="008E7A56">
        <w:rPr>
          <w:rFonts w:ascii="Garamond" w:hAnsi="Garamond"/>
        </w:rPr>
        <w:t>a pilot project in Northern California that combines zero-emission regional haul truck</w:t>
      </w:r>
      <w:r w:rsidR="00240415">
        <w:rPr>
          <w:rFonts w:ascii="Garamond" w:hAnsi="Garamond"/>
        </w:rPr>
        <w:t xml:space="preserve"> applications </w:t>
      </w:r>
      <w:r w:rsidR="008E7A56">
        <w:rPr>
          <w:rFonts w:ascii="Garamond" w:hAnsi="Garamond"/>
        </w:rPr>
        <w:t xml:space="preserve">with </w:t>
      </w:r>
      <w:r w:rsidR="001100AB">
        <w:rPr>
          <w:rFonts w:ascii="Garamond" w:hAnsi="Garamond"/>
        </w:rPr>
        <w:t>dozens of zero-emission</w:t>
      </w:r>
      <w:r w:rsidR="008E7A56" w:rsidRPr="008E7A56">
        <w:rPr>
          <w:rFonts w:ascii="Garamond" w:hAnsi="Garamond"/>
        </w:rPr>
        <w:t xml:space="preserve"> electric forklifts and yard truck</w:t>
      </w:r>
      <w:r w:rsidR="00240415">
        <w:rPr>
          <w:rFonts w:ascii="Garamond" w:hAnsi="Garamond"/>
        </w:rPr>
        <w:t>s that</w:t>
      </w:r>
      <w:r w:rsidR="008E7A56" w:rsidRPr="008E7A56">
        <w:rPr>
          <w:rFonts w:ascii="Garamond" w:hAnsi="Garamond"/>
        </w:rPr>
        <w:t xml:space="preserve"> operate at the shared freight facility</w:t>
      </w:r>
      <w:r w:rsidRPr="00987141">
        <w:rPr>
          <w:rFonts w:ascii="Garamond" w:hAnsi="Garamond"/>
        </w:rPr>
        <w:t xml:space="preserve"> </w:t>
      </w:r>
      <w:r w:rsidR="00CA1A1F" w:rsidRPr="006B2E61">
        <w:rPr>
          <w:rFonts w:ascii="Garamond" w:hAnsi="Garamond"/>
        </w:rPr>
        <w:t>(CARB, 2020).</w:t>
      </w:r>
      <w:r w:rsidRPr="00052F8A">
        <w:rPr>
          <w:rFonts w:ascii="Garamond" w:hAnsi="Garamond"/>
        </w:rPr>
        <w:t xml:space="preserve"> </w:t>
      </w:r>
      <w:r w:rsidR="00C96E6B" w:rsidRPr="00052F8A">
        <w:rPr>
          <w:rFonts w:ascii="Garamond" w:hAnsi="Garamond"/>
        </w:rPr>
        <w:t xml:space="preserve">These shared-use scenarios are represented in Figure </w:t>
      </w:r>
      <w:r w:rsidR="00C96E6B">
        <w:rPr>
          <w:rFonts w:ascii="Garamond" w:hAnsi="Garamond"/>
        </w:rPr>
        <w:t>2</w:t>
      </w:r>
      <w:r w:rsidR="00C96E6B" w:rsidRPr="00052F8A">
        <w:rPr>
          <w:rFonts w:ascii="Garamond" w:hAnsi="Garamond"/>
        </w:rPr>
        <w:t xml:space="preserve"> as electrified facilities</w:t>
      </w:r>
      <w:r w:rsidR="00C96E6B">
        <w:rPr>
          <w:rFonts w:ascii="Garamond" w:hAnsi="Garamond"/>
        </w:rPr>
        <w:t>, serving both on- and off-road vehicles at common facilities</w:t>
      </w:r>
      <w:r w:rsidR="00C96E6B" w:rsidRPr="00052F8A">
        <w:rPr>
          <w:rFonts w:ascii="Garamond" w:hAnsi="Garamond"/>
        </w:rPr>
        <w:t>.</w:t>
      </w:r>
    </w:p>
    <w:p w14:paraId="2AE36146" w14:textId="0B4A761D" w:rsidR="00AD4C97" w:rsidRPr="00052F8A" w:rsidRDefault="00AD4C97" w:rsidP="00CE3C2B">
      <w:pPr>
        <w:spacing w:before="240" w:after="240"/>
        <w:jc w:val="both"/>
        <w:rPr>
          <w:rFonts w:ascii="Garamond" w:hAnsi="Garamond"/>
          <w:color w:val="FF9900"/>
        </w:rPr>
      </w:pPr>
      <w:bookmarkStart w:id="17" w:name="_Hlk29305316"/>
      <w:r w:rsidRPr="00052F8A">
        <w:rPr>
          <w:rFonts w:ascii="Garamond" w:hAnsi="Garamond"/>
        </w:rPr>
        <w:t>Infrastructure investments in sites that host multiple operations</w:t>
      </w:r>
      <w:r w:rsidR="00BC3E70">
        <w:rPr>
          <w:rFonts w:ascii="Garamond" w:hAnsi="Garamond"/>
        </w:rPr>
        <w:t xml:space="preserve">, such as shipping terminals </w:t>
      </w:r>
      <w:r w:rsidR="003F7E40">
        <w:rPr>
          <w:rFonts w:ascii="Garamond" w:hAnsi="Garamond"/>
        </w:rPr>
        <w:t>and shared freight facilities,</w:t>
      </w:r>
      <w:r w:rsidRPr="00052F8A">
        <w:rPr>
          <w:rFonts w:ascii="Garamond" w:hAnsi="Garamond"/>
        </w:rPr>
        <w:t xml:space="preserve"> may yield greater benefits beyond high utilization rates. The expected co-benefits that would accompany infrastructure include labor and maintenance training and high visibility for on-site fleets to become accustomed to zero-emission technology, increasing the likelihood that new fleets will adopt zero-emission vehicles. Multiple-operation sites may also host a range of technologies that would both be tested and on display for captive fleets. Investing in infrastructure at large sites with multiple operations, therefore, makes financial sense for fleet utilization while marketing toward a built-in captive fleet market and testing new zero-emission technologies to expand to secondary and tertiary markets</w:t>
      </w:r>
      <w:r w:rsidR="00987141">
        <w:rPr>
          <w:rFonts w:ascii="Garamond" w:hAnsi="Garamond"/>
        </w:rPr>
        <w:t xml:space="preserve"> </w:t>
      </w:r>
      <w:r w:rsidR="00987141" w:rsidRPr="00D3621F">
        <w:rPr>
          <w:rFonts w:ascii="Garamond" w:hAnsi="Garamond"/>
        </w:rPr>
        <w:t>(CARB, 2020).</w:t>
      </w:r>
    </w:p>
    <w:p w14:paraId="55FF0424" w14:textId="3458F723" w:rsidR="00653A38" w:rsidRPr="00CE3C2B" w:rsidRDefault="00B37DE3" w:rsidP="00CE3C2B">
      <w:pPr>
        <w:pStyle w:val="Heading2"/>
      </w:pPr>
      <w:bookmarkStart w:id="18" w:name="_Toc53065362"/>
      <w:bookmarkEnd w:id="17"/>
      <w:r>
        <w:t>Practical</w:t>
      </w:r>
      <w:r w:rsidR="00EE5AC4">
        <w:t xml:space="preserve"> </w:t>
      </w:r>
      <w:r w:rsidR="000947A7">
        <w:t>Examples of Beachhead Progress</w:t>
      </w:r>
      <w:bookmarkEnd w:id="18"/>
    </w:p>
    <w:p w14:paraId="6A03150E" w14:textId="7E237B91" w:rsidR="00A11B8F" w:rsidRDefault="00AD4C97" w:rsidP="00CE3C2B">
      <w:pPr>
        <w:spacing w:after="80"/>
        <w:jc w:val="both"/>
        <w:rPr>
          <w:rFonts w:ascii="Garamond" w:hAnsi="Garamond"/>
        </w:rPr>
      </w:pPr>
      <w:r w:rsidRPr="3E8645EE">
        <w:rPr>
          <w:rFonts w:ascii="Garamond" w:hAnsi="Garamond"/>
        </w:rPr>
        <w:t>The beachhead model is being examined and adopted by regions around the world as a useful framework for accelerating technology transformation in medium- and heavy-duty vehicles. In the United States, this concept has helped the California Air Resources Board (CARB) target most funding to those applications that have the strongest potential for technology transfer to broader applications</w:t>
      </w:r>
      <w:r w:rsidR="00942FB6">
        <w:rPr>
          <w:rFonts w:ascii="Garamond" w:hAnsi="Garamond"/>
        </w:rPr>
        <w:t xml:space="preserve"> (CARB, 2020)</w:t>
      </w:r>
      <w:r w:rsidR="004D43A3">
        <w:rPr>
          <w:rFonts w:ascii="Garamond" w:hAnsi="Garamond"/>
        </w:rPr>
        <w:t>.</w:t>
      </w:r>
      <w:r w:rsidR="009E2032">
        <w:rPr>
          <w:rFonts w:ascii="Garamond" w:hAnsi="Garamond"/>
        </w:rPr>
        <w:t xml:space="preserve"> </w:t>
      </w:r>
      <w:r w:rsidRPr="3E8645EE">
        <w:rPr>
          <w:rFonts w:ascii="Garamond" w:hAnsi="Garamond"/>
        </w:rPr>
        <w:t>Evidence of strategically advancing beachhead applications is also seen in other regions in the United States and in Europe, Asia, India and South America as investments in zero-emission buses</w:t>
      </w:r>
      <w:r w:rsidR="00CF7B0D">
        <w:rPr>
          <w:rFonts w:ascii="Garamond" w:hAnsi="Garamond"/>
        </w:rPr>
        <w:t xml:space="preserve"> and </w:t>
      </w:r>
      <w:r w:rsidR="004F06D8">
        <w:rPr>
          <w:rFonts w:ascii="Garamond" w:hAnsi="Garamond"/>
        </w:rPr>
        <w:t>lifts</w:t>
      </w:r>
      <w:r w:rsidRPr="3E8645EE">
        <w:rPr>
          <w:rFonts w:ascii="Garamond" w:hAnsi="Garamond"/>
        </w:rPr>
        <w:t xml:space="preserve"> can lay the foundation for faster ZECV adoption in other vehicle categories. </w:t>
      </w:r>
      <w:r w:rsidR="00A11B8F">
        <w:rPr>
          <w:rFonts w:ascii="Garamond" w:hAnsi="Garamond"/>
        </w:rPr>
        <w:t>For example</w:t>
      </w:r>
      <w:r w:rsidR="001B0543">
        <w:rPr>
          <w:rFonts w:ascii="Garamond" w:hAnsi="Garamond"/>
        </w:rPr>
        <w:t xml:space="preserve">, the following Drive to Zero pledge partners have invested in </w:t>
      </w:r>
      <w:r w:rsidR="00653A38">
        <w:rPr>
          <w:rFonts w:ascii="Garamond" w:hAnsi="Garamond"/>
        </w:rPr>
        <w:t>zero-emission buses and infrastructure</w:t>
      </w:r>
      <w:r w:rsidR="00A11B8F">
        <w:rPr>
          <w:rFonts w:ascii="Garamond" w:hAnsi="Garamond"/>
        </w:rPr>
        <w:t>:</w:t>
      </w:r>
    </w:p>
    <w:p w14:paraId="11E38E6C" w14:textId="3AF14512" w:rsidR="00AD4C97" w:rsidRDefault="00544D48" w:rsidP="00CE3C2B">
      <w:pPr>
        <w:pStyle w:val="ListParagraph"/>
        <w:numPr>
          <w:ilvl w:val="0"/>
          <w:numId w:val="13"/>
        </w:numPr>
        <w:spacing w:after="80"/>
        <w:jc w:val="both"/>
        <w:rPr>
          <w:rFonts w:ascii="Garamond" w:hAnsi="Garamond"/>
        </w:rPr>
      </w:pPr>
      <w:r w:rsidRPr="00CE3C2B">
        <w:rPr>
          <w:rFonts w:ascii="Garamond" w:hAnsi="Garamond"/>
        </w:rPr>
        <w:t>The federal government</w:t>
      </w:r>
      <w:r w:rsidR="00F51544" w:rsidRPr="00CE3C2B">
        <w:rPr>
          <w:rFonts w:ascii="Garamond" w:hAnsi="Garamond"/>
        </w:rPr>
        <w:t xml:space="preserve"> of Canada</w:t>
      </w:r>
      <w:r w:rsidR="004F06D8">
        <w:rPr>
          <w:rFonts w:ascii="Garamond" w:hAnsi="Garamond"/>
        </w:rPr>
        <w:t xml:space="preserve"> </w:t>
      </w:r>
      <w:r w:rsidR="004F5C8C">
        <w:rPr>
          <w:rFonts w:ascii="Garamond" w:hAnsi="Garamond"/>
        </w:rPr>
        <w:t xml:space="preserve">is investing CA$1.5 billion in </w:t>
      </w:r>
      <w:r w:rsidR="009F5BFD">
        <w:rPr>
          <w:rFonts w:ascii="Garamond" w:hAnsi="Garamond"/>
        </w:rPr>
        <w:t xml:space="preserve">zero-emission </w:t>
      </w:r>
      <w:r w:rsidR="004F5C8C">
        <w:rPr>
          <w:rFonts w:ascii="Garamond" w:hAnsi="Garamond"/>
        </w:rPr>
        <w:t>bus</w:t>
      </w:r>
      <w:r w:rsidR="00AE45D9">
        <w:rPr>
          <w:rFonts w:ascii="Garamond" w:hAnsi="Garamond"/>
        </w:rPr>
        <w:t>es</w:t>
      </w:r>
      <w:r w:rsidR="004F5C8C">
        <w:rPr>
          <w:rFonts w:ascii="Garamond" w:hAnsi="Garamond"/>
        </w:rPr>
        <w:t xml:space="preserve"> and associated </w:t>
      </w:r>
      <w:r w:rsidR="006567B8">
        <w:rPr>
          <w:rFonts w:ascii="Garamond" w:hAnsi="Garamond"/>
        </w:rPr>
        <w:t xml:space="preserve">charging or fueling </w:t>
      </w:r>
      <w:r w:rsidR="004F5C8C">
        <w:rPr>
          <w:rFonts w:ascii="Garamond" w:hAnsi="Garamond"/>
        </w:rPr>
        <w:t>infrastructure</w:t>
      </w:r>
      <w:r w:rsidR="00AE45D9">
        <w:rPr>
          <w:rFonts w:ascii="Garamond" w:hAnsi="Garamond"/>
        </w:rPr>
        <w:t xml:space="preserve"> loans</w:t>
      </w:r>
      <w:r w:rsidR="009F5BFD">
        <w:rPr>
          <w:rFonts w:ascii="Garamond" w:hAnsi="Garamond"/>
        </w:rPr>
        <w:t xml:space="preserve"> as part of a</w:t>
      </w:r>
      <w:r w:rsidR="006567B8">
        <w:rPr>
          <w:rFonts w:ascii="Garamond" w:hAnsi="Garamond"/>
        </w:rPr>
        <w:t xml:space="preserve"> national infrastructure package.</w:t>
      </w:r>
      <w:r w:rsidR="007D5629">
        <w:rPr>
          <w:rFonts w:ascii="Garamond" w:hAnsi="Garamond"/>
        </w:rPr>
        <w:t xml:space="preserve"> As the first national government signatory to the Drive to Zero program in </w:t>
      </w:r>
      <w:r w:rsidR="00554B27">
        <w:rPr>
          <w:rFonts w:ascii="Garamond" w:hAnsi="Garamond"/>
        </w:rPr>
        <w:t xml:space="preserve">early 2019, the focus on zero-emission buses reflects </w:t>
      </w:r>
      <w:r w:rsidR="0076468E">
        <w:rPr>
          <w:rFonts w:ascii="Garamond" w:hAnsi="Garamond"/>
        </w:rPr>
        <w:t xml:space="preserve">an understanding and </w:t>
      </w:r>
      <w:r w:rsidR="003E45A6">
        <w:rPr>
          <w:rFonts w:ascii="Garamond" w:hAnsi="Garamond"/>
        </w:rPr>
        <w:t xml:space="preserve">commitment to the beachhead </w:t>
      </w:r>
      <w:r w:rsidR="00480536">
        <w:rPr>
          <w:rFonts w:ascii="Garamond" w:hAnsi="Garamond"/>
        </w:rPr>
        <w:t>model</w:t>
      </w:r>
      <w:r w:rsidR="002A12BA">
        <w:rPr>
          <w:rFonts w:ascii="Garamond" w:hAnsi="Garamond"/>
        </w:rPr>
        <w:t xml:space="preserve"> (Canada Infrastructure Bank, 2020)</w:t>
      </w:r>
      <w:r w:rsidR="002057F5">
        <w:rPr>
          <w:rFonts w:ascii="Garamond" w:hAnsi="Garamond"/>
        </w:rPr>
        <w:t>.</w:t>
      </w:r>
    </w:p>
    <w:p w14:paraId="2587DB84" w14:textId="4A306594" w:rsidR="006567B8" w:rsidRDefault="003E45A6" w:rsidP="00CE3C2B">
      <w:pPr>
        <w:pStyle w:val="ListParagraph"/>
        <w:numPr>
          <w:ilvl w:val="0"/>
          <w:numId w:val="13"/>
        </w:numPr>
        <w:spacing w:after="80"/>
        <w:jc w:val="both"/>
        <w:rPr>
          <w:rFonts w:ascii="Garamond" w:hAnsi="Garamond"/>
        </w:rPr>
      </w:pPr>
      <w:r>
        <w:rPr>
          <w:rFonts w:ascii="Garamond" w:hAnsi="Garamond"/>
        </w:rPr>
        <w:t>China is the world leader in ZEVCs by a vast margin</w:t>
      </w:r>
      <w:r w:rsidR="003B3426">
        <w:rPr>
          <w:rFonts w:ascii="Garamond" w:hAnsi="Garamond"/>
        </w:rPr>
        <w:t xml:space="preserve">, due partly to aggressive </w:t>
      </w:r>
      <w:r w:rsidR="00F6376A">
        <w:rPr>
          <w:rFonts w:ascii="Garamond" w:hAnsi="Garamond"/>
        </w:rPr>
        <w:t xml:space="preserve">financial and policy support for “new energy vehicles” that produce nearly or no tailpipe emissions. </w:t>
      </w:r>
      <w:r w:rsidR="0080456D">
        <w:rPr>
          <w:rFonts w:ascii="Garamond" w:hAnsi="Garamond"/>
        </w:rPr>
        <w:t xml:space="preserve">The </w:t>
      </w:r>
      <w:r w:rsidR="0080456D">
        <w:rPr>
          <w:rFonts w:ascii="Garamond" w:hAnsi="Garamond"/>
        </w:rPr>
        <w:lastRenderedPageBreak/>
        <w:t>southern city of Shenz</w:t>
      </w:r>
      <w:r w:rsidR="00694152">
        <w:rPr>
          <w:rFonts w:ascii="Garamond" w:hAnsi="Garamond"/>
        </w:rPr>
        <w:t>h</w:t>
      </w:r>
      <w:r w:rsidR="0080456D">
        <w:rPr>
          <w:rFonts w:ascii="Garamond" w:hAnsi="Garamond"/>
        </w:rPr>
        <w:t xml:space="preserve">en first adopted electric transit buses in </w:t>
      </w:r>
      <w:r w:rsidR="00830183">
        <w:rPr>
          <w:rFonts w:ascii="Garamond" w:hAnsi="Garamond"/>
        </w:rPr>
        <w:t>2009, growing to an electrified fleet of more than 16,000 transit buses by 2018</w:t>
      </w:r>
      <w:r w:rsidR="003541B9">
        <w:rPr>
          <w:rFonts w:ascii="Garamond" w:hAnsi="Garamond"/>
        </w:rPr>
        <w:t xml:space="preserve"> (Bloomberg, 2018)</w:t>
      </w:r>
      <w:r w:rsidR="001076AC">
        <w:rPr>
          <w:rFonts w:ascii="Garamond" w:hAnsi="Garamond"/>
        </w:rPr>
        <w:t>.</w:t>
      </w:r>
      <w:r w:rsidR="0074381D">
        <w:rPr>
          <w:rFonts w:ascii="Garamond" w:hAnsi="Garamond"/>
        </w:rPr>
        <w:t xml:space="preserve"> Shenzhen subsequently become a global leader in zero-emission delivery vehicles, </w:t>
      </w:r>
      <w:r w:rsidR="009B7550">
        <w:rPr>
          <w:rFonts w:ascii="Garamond" w:hAnsi="Garamond"/>
        </w:rPr>
        <w:t>with 300 registered vehicles growing to more than 60,000 by 2019</w:t>
      </w:r>
      <w:r w:rsidR="001076AC">
        <w:rPr>
          <w:rFonts w:ascii="Garamond" w:hAnsi="Garamond"/>
        </w:rPr>
        <w:t xml:space="preserve"> (RMI, 2019).</w:t>
      </w:r>
      <w:r w:rsidR="00480536">
        <w:rPr>
          <w:rFonts w:ascii="Garamond" w:hAnsi="Garamond"/>
        </w:rPr>
        <w:t xml:space="preserve"> This adaptation and commercialization </w:t>
      </w:r>
      <w:proofErr w:type="gramStart"/>
      <w:r w:rsidR="00480536">
        <w:rPr>
          <w:rFonts w:ascii="Garamond" w:hAnsi="Garamond"/>
        </w:rPr>
        <w:t>follows</w:t>
      </w:r>
      <w:proofErr w:type="gramEnd"/>
      <w:r w:rsidR="00480536">
        <w:rPr>
          <w:rFonts w:ascii="Garamond" w:hAnsi="Garamond"/>
        </w:rPr>
        <w:t xml:space="preserve"> the beachhead model of </w:t>
      </w:r>
      <w:r w:rsidR="004B606C">
        <w:rPr>
          <w:rFonts w:ascii="Garamond" w:hAnsi="Garamond"/>
        </w:rPr>
        <w:t>progressive vehicle application successes</w:t>
      </w:r>
      <w:r w:rsidR="00480536">
        <w:rPr>
          <w:rFonts w:ascii="Garamond" w:hAnsi="Garamond"/>
        </w:rPr>
        <w:t>.</w:t>
      </w:r>
    </w:p>
    <w:p w14:paraId="626AFE80" w14:textId="43A0D9EA" w:rsidR="00BE2EE0" w:rsidRDefault="0038367B" w:rsidP="00CE3C2B">
      <w:pPr>
        <w:pStyle w:val="ListParagraph"/>
        <w:numPr>
          <w:ilvl w:val="0"/>
          <w:numId w:val="13"/>
        </w:numPr>
        <w:spacing w:after="80"/>
        <w:jc w:val="both"/>
        <w:rPr>
          <w:rFonts w:ascii="Garamond" w:hAnsi="Garamond"/>
        </w:rPr>
      </w:pPr>
      <w:r>
        <w:rPr>
          <w:rFonts w:ascii="Garamond" w:hAnsi="Garamond"/>
        </w:rPr>
        <w:t xml:space="preserve">The Chilean government has established </w:t>
      </w:r>
      <w:r w:rsidR="005F383B">
        <w:rPr>
          <w:rFonts w:ascii="Garamond" w:hAnsi="Garamond"/>
        </w:rPr>
        <w:t>vehicle electrification goals that initially prioritize transit buses</w:t>
      </w:r>
      <w:r w:rsidR="00B423B8">
        <w:rPr>
          <w:rFonts w:ascii="Garamond" w:hAnsi="Garamond"/>
        </w:rPr>
        <w:t xml:space="preserve"> to support broader zero-emission vehicle deployments. The City of Santiago is an early</w:t>
      </w:r>
      <w:r w:rsidR="00E06A63">
        <w:rPr>
          <w:rFonts w:ascii="Garamond" w:hAnsi="Garamond"/>
        </w:rPr>
        <w:t xml:space="preserve"> regional leader that operates hundreds of </w:t>
      </w:r>
      <w:r w:rsidR="001C32E0">
        <w:rPr>
          <w:rFonts w:ascii="Garamond" w:hAnsi="Garamond"/>
        </w:rPr>
        <w:t>electric transit buses</w:t>
      </w:r>
      <w:r w:rsidR="001076AC">
        <w:rPr>
          <w:rFonts w:ascii="Garamond" w:hAnsi="Garamond"/>
        </w:rPr>
        <w:t xml:space="preserve"> (</w:t>
      </w:r>
      <w:r w:rsidR="00F3628C">
        <w:rPr>
          <w:rFonts w:ascii="Garamond" w:hAnsi="Garamond"/>
        </w:rPr>
        <w:t>World Bank, 2020).</w:t>
      </w:r>
    </w:p>
    <w:p w14:paraId="4CB4E2F7" w14:textId="77777777" w:rsidR="00BF505E" w:rsidRDefault="00BF505E" w:rsidP="00CE3C2B">
      <w:pPr>
        <w:spacing w:after="80"/>
        <w:jc w:val="both"/>
        <w:rPr>
          <w:rFonts w:ascii="Garamond" w:hAnsi="Garamond"/>
        </w:rPr>
      </w:pPr>
    </w:p>
    <w:p w14:paraId="18C32FC4" w14:textId="76966A92" w:rsidR="009754C7" w:rsidRDefault="009754C7" w:rsidP="00DC5FEF">
      <w:pPr>
        <w:spacing w:after="80"/>
        <w:jc w:val="both"/>
        <w:rPr>
          <w:rFonts w:ascii="Garamond" w:hAnsi="Garamond"/>
        </w:rPr>
      </w:pPr>
      <w:r>
        <w:rPr>
          <w:rFonts w:ascii="Garamond" w:hAnsi="Garamond"/>
        </w:rPr>
        <w:t xml:space="preserve">The </w:t>
      </w:r>
      <w:r w:rsidR="00B21FDB">
        <w:rPr>
          <w:rFonts w:ascii="Garamond" w:hAnsi="Garamond"/>
        </w:rPr>
        <w:t xml:space="preserve">ZECV </w:t>
      </w:r>
      <w:r>
        <w:rPr>
          <w:rFonts w:ascii="Garamond" w:hAnsi="Garamond"/>
        </w:rPr>
        <w:t xml:space="preserve">market has steadily progressed from </w:t>
      </w:r>
      <w:r w:rsidR="0065190F">
        <w:rPr>
          <w:rFonts w:ascii="Garamond" w:hAnsi="Garamond"/>
        </w:rPr>
        <w:t xml:space="preserve">a focus on initial applications delivered by </w:t>
      </w:r>
      <w:r w:rsidR="00075AB5">
        <w:rPr>
          <w:rFonts w:ascii="Garamond" w:hAnsi="Garamond"/>
        </w:rPr>
        <w:t xml:space="preserve">zero-emission </w:t>
      </w:r>
      <w:r w:rsidR="0065190F">
        <w:rPr>
          <w:rFonts w:ascii="Garamond" w:hAnsi="Garamond"/>
        </w:rPr>
        <w:t xml:space="preserve">transit buses and </w:t>
      </w:r>
      <w:r w:rsidR="00075AB5">
        <w:rPr>
          <w:rFonts w:ascii="Garamond" w:hAnsi="Garamond"/>
        </w:rPr>
        <w:t xml:space="preserve">forklifts. </w:t>
      </w:r>
      <w:r w:rsidR="00883A94">
        <w:rPr>
          <w:rFonts w:ascii="Garamond" w:hAnsi="Garamond"/>
        </w:rPr>
        <w:t xml:space="preserve">CARB </w:t>
      </w:r>
      <w:r w:rsidR="000831D9">
        <w:rPr>
          <w:rFonts w:ascii="Garamond" w:hAnsi="Garamond"/>
        </w:rPr>
        <w:t xml:space="preserve">annually evaluates </w:t>
      </w:r>
      <w:r w:rsidR="00D1554F">
        <w:rPr>
          <w:rFonts w:ascii="Garamond" w:hAnsi="Garamond"/>
        </w:rPr>
        <w:t>the</w:t>
      </w:r>
      <w:r w:rsidR="000831D9">
        <w:rPr>
          <w:rFonts w:ascii="Garamond" w:hAnsi="Garamond"/>
        </w:rPr>
        <w:t xml:space="preserve"> commercially viab</w:t>
      </w:r>
      <w:r w:rsidR="00D1554F">
        <w:rPr>
          <w:rFonts w:ascii="Garamond" w:hAnsi="Garamond"/>
        </w:rPr>
        <w:t>ility of</w:t>
      </w:r>
      <w:r w:rsidR="000831D9">
        <w:rPr>
          <w:rFonts w:ascii="Garamond" w:hAnsi="Garamond"/>
        </w:rPr>
        <w:t xml:space="preserve"> different ZECV technologies</w:t>
      </w:r>
      <w:r w:rsidR="004B168D">
        <w:rPr>
          <w:rFonts w:ascii="Garamond" w:hAnsi="Garamond"/>
        </w:rPr>
        <w:t xml:space="preserve"> (CARB, 2020)</w:t>
      </w:r>
      <w:r w:rsidR="000831D9">
        <w:rPr>
          <w:rFonts w:ascii="Garamond" w:hAnsi="Garamond"/>
        </w:rPr>
        <w:t>, described through “Technology Readiness Levels</w:t>
      </w:r>
      <w:r w:rsidR="00D1554F">
        <w:rPr>
          <w:rFonts w:ascii="Garamond" w:hAnsi="Garamond"/>
        </w:rPr>
        <w:t xml:space="preserve"> (TRLs)</w:t>
      </w:r>
      <w:r w:rsidR="00F51133">
        <w:rPr>
          <w:rFonts w:ascii="Garamond" w:hAnsi="Garamond"/>
        </w:rPr>
        <w:t>.</w:t>
      </w:r>
      <w:r w:rsidR="00D1554F">
        <w:rPr>
          <w:rFonts w:ascii="Garamond" w:hAnsi="Garamond"/>
        </w:rPr>
        <w:t>”</w:t>
      </w:r>
      <w:r w:rsidR="00F51133">
        <w:rPr>
          <w:rFonts w:ascii="Garamond" w:hAnsi="Garamond"/>
        </w:rPr>
        <w:t xml:space="preserve"> </w:t>
      </w:r>
      <w:r w:rsidR="00556CF3">
        <w:rPr>
          <w:rFonts w:ascii="Garamond" w:hAnsi="Garamond"/>
        </w:rPr>
        <w:t xml:space="preserve">Each vehicle platform is assigned a score </w:t>
      </w:r>
      <w:r w:rsidR="00556CF3" w:rsidRPr="00556CF3">
        <w:rPr>
          <w:rFonts w:ascii="Garamond" w:hAnsi="Garamond"/>
        </w:rPr>
        <w:t>on a scale from 1-9, with 9 being ready to enter broad commercial sales</w:t>
      </w:r>
      <w:r w:rsidR="00F34470">
        <w:rPr>
          <w:rFonts w:ascii="Garamond" w:hAnsi="Garamond"/>
        </w:rPr>
        <w:t xml:space="preserve"> (illustrated in Figure </w:t>
      </w:r>
      <w:r w:rsidR="00285213">
        <w:rPr>
          <w:rFonts w:ascii="Garamond" w:hAnsi="Garamond"/>
        </w:rPr>
        <w:t>3</w:t>
      </w:r>
      <w:r w:rsidR="00F34470">
        <w:rPr>
          <w:rFonts w:ascii="Garamond" w:hAnsi="Garamond"/>
        </w:rPr>
        <w:t>)</w:t>
      </w:r>
      <w:r w:rsidR="00556CF3">
        <w:rPr>
          <w:rFonts w:ascii="Garamond" w:hAnsi="Garamond"/>
        </w:rPr>
        <w:t>.</w:t>
      </w:r>
    </w:p>
    <w:p w14:paraId="0F3EB141" w14:textId="77777777" w:rsidR="00285213" w:rsidRDefault="00285213" w:rsidP="00DC5FEF">
      <w:pPr>
        <w:spacing w:after="80"/>
        <w:jc w:val="both"/>
        <w:rPr>
          <w:rFonts w:ascii="Garamond" w:hAnsi="Garamond"/>
        </w:rPr>
      </w:pPr>
    </w:p>
    <w:p w14:paraId="78F3F1AB" w14:textId="03EE1226" w:rsidR="00285213" w:rsidRPr="00CE3C2B" w:rsidRDefault="00EB13D5" w:rsidP="00CE3C2B">
      <w:pPr>
        <w:pStyle w:val="Figures"/>
        <w:rPr>
          <w:rStyle w:val="Strong"/>
          <w:b/>
          <w:bCs w:val="0"/>
        </w:rPr>
      </w:pPr>
      <w:bookmarkStart w:id="19" w:name="_Toc53065378"/>
      <w:r w:rsidRPr="00CE3C2B">
        <w:rPr>
          <w:rStyle w:val="Strong"/>
          <w:b/>
          <w:bCs w:val="0"/>
        </w:rPr>
        <w:t>Figure 3</w:t>
      </w:r>
      <w:r w:rsidR="00285213" w:rsidRPr="00CE3C2B">
        <w:rPr>
          <w:rStyle w:val="Strong"/>
          <w:b/>
          <w:bCs w:val="0"/>
        </w:rPr>
        <w:t xml:space="preserve">: </w:t>
      </w:r>
      <w:r w:rsidR="002C2F56" w:rsidRPr="00CE3C2B">
        <w:rPr>
          <w:rStyle w:val="Strong"/>
          <w:b/>
          <w:bCs w:val="0"/>
        </w:rPr>
        <w:t>Stages of Technology Readiness</w:t>
      </w:r>
      <w:bookmarkEnd w:id="19"/>
    </w:p>
    <w:p w14:paraId="1E347041" w14:textId="0CD511A3" w:rsidR="00F624DD" w:rsidRDefault="00C16511" w:rsidP="00BF505E">
      <w:pPr>
        <w:spacing w:after="80"/>
        <w:rPr>
          <w:rFonts w:ascii="Garamond" w:hAnsi="Garamond"/>
        </w:rPr>
      </w:pPr>
      <w:r>
        <w:rPr>
          <w:noProof/>
        </w:rPr>
        <w:drawing>
          <wp:inline distT="0" distB="0" distL="0" distR="0" wp14:anchorId="651251A9" wp14:editId="0AD3AA1F">
            <wp:extent cx="5909310" cy="800100"/>
            <wp:effectExtent l="0" t="0" r="34290" b="0"/>
            <wp:docPr id="1097732911" name="Diagram 10977329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9252948" w14:textId="55205F23" w:rsidR="00164684" w:rsidRDefault="00DC1460" w:rsidP="00DC5FEF">
      <w:pPr>
        <w:spacing w:after="80"/>
        <w:jc w:val="both"/>
        <w:rPr>
          <w:rFonts w:ascii="Garamond" w:hAnsi="Garamond"/>
        </w:rPr>
      </w:pPr>
      <w:r w:rsidRPr="00F624DD">
        <w:rPr>
          <w:rFonts w:ascii="Garamond" w:hAnsi="Garamond"/>
        </w:rPr>
        <w:t xml:space="preserve">These scores are placed into a chart that combines the </w:t>
      </w:r>
      <w:proofErr w:type="gramStart"/>
      <w:r w:rsidRPr="00F624DD">
        <w:rPr>
          <w:rFonts w:ascii="Garamond" w:hAnsi="Garamond"/>
        </w:rPr>
        <w:t>current status</w:t>
      </w:r>
      <w:proofErr w:type="gramEnd"/>
      <w:r w:rsidRPr="00F624DD">
        <w:rPr>
          <w:rFonts w:ascii="Garamond" w:hAnsi="Garamond"/>
        </w:rPr>
        <w:t xml:space="preserve"> of each ZEFV segment with recent progress toward commercialization</w:t>
      </w:r>
      <w:r>
        <w:rPr>
          <w:rFonts w:ascii="Garamond" w:hAnsi="Garamond"/>
        </w:rPr>
        <w:t xml:space="preserve">. </w:t>
      </w:r>
      <w:r w:rsidR="00164684" w:rsidRPr="00164684">
        <w:rPr>
          <w:rFonts w:ascii="Garamond" w:hAnsi="Garamond"/>
        </w:rPr>
        <w:t xml:space="preserve">In the technology status chart shown in Figure </w:t>
      </w:r>
      <w:r w:rsidR="002C2F56">
        <w:rPr>
          <w:rFonts w:ascii="Garamond" w:hAnsi="Garamond"/>
        </w:rPr>
        <w:t>4,</w:t>
      </w:r>
      <w:r w:rsidR="00164684" w:rsidRPr="00164684">
        <w:rPr>
          <w:rFonts w:ascii="Garamond" w:hAnsi="Garamond"/>
        </w:rPr>
        <w:t xml:space="preserve"> the x-axis represents how far the technology has advanced toward readiness for production, with those in the early demonstration stages shown on the left. ZEFV technologies that are closer to commercialization sit farther to the right on the x-axis</w:t>
      </w:r>
      <w:r w:rsidR="00D908E7">
        <w:rPr>
          <w:rFonts w:ascii="Garamond" w:hAnsi="Garamond"/>
        </w:rPr>
        <w:t xml:space="preserve">. </w:t>
      </w:r>
      <w:r w:rsidR="00D908E7" w:rsidRPr="00D908E7">
        <w:rPr>
          <w:rFonts w:ascii="Garamond" w:hAnsi="Garamond"/>
        </w:rPr>
        <w:t>The figure shows a range of TRLs and indicates progress in each ZE</w:t>
      </w:r>
      <w:r w:rsidR="00F81F3F">
        <w:rPr>
          <w:rFonts w:ascii="Garamond" w:hAnsi="Garamond"/>
        </w:rPr>
        <w:t>C</w:t>
      </w:r>
      <w:r w:rsidR="00D908E7" w:rsidRPr="00D908E7">
        <w:rPr>
          <w:rFonts w:ascii="Garamond" w:hAnsi="Garamond"/>
        </w:rPr>
        <w:t>V segment over time</w:t>
      </w:r>
      <w:r w:rsidR="00621552">
        <w:rPr>
          <w:rFonts w:ascii="Garamond" w:hAnsi="Garamond"/>
        </w:rPr>
        <w:t xml:space="preserve"> </w:t>
      </w:r>
      <w:r w:rsidR="00621552" w:rsidRPr="00621552">
        <w:rPr>
          <w:rFonts w:ascii="Garamond" w:hAnsi="Garamond"/>
        </w:rPr>
        <w:t>as</w:t>
      </w:r>
      <w:r w:rsidR="00621552">
        <w:rPr>
          <w:rFonts w:ascii="Garamond" w:hAnsi="Garamond"/>
        </w:rPr>
        <w:t xml:space="preserve"> </w:t>
      </w:r>
      <w:r w:rsidR="00621552" w:rsidRPr="00621552">
        <w:rPr>
          <w:rFonts w:ascii="Garamond" w:hAnsi="Garamond"/>
        </w:rPr>
        <w:t>shown by current (2020) and previous year (2019) scores.</w:t>
      </w:r>
      <w:r w:rsidR="00EB0214">
        <w:rPr>
          <w:rFonts w:ascii="Garamond" w:hAnsi="Garamond"/>
        </w:rPr>
        <w:t xml:space="preserve"> </w:t>
      </w:r>
      <w:r w:rsidR="00E61AD6">
        <w:rPr>
          <w:rFonts w:ascii="Garamond" w:hAnsi="Garamond"/>
        </w:rPr>
        <w:t>I</w:t>
      </w:r>
      <w:r w:rsidR="00EB0214">
        <w:rPr>
          <w:rFonts w:ascii="Garamond" w:hAnsi="Garamond"/>
        </w:rPr>
        <w:t xml:space="preserve">nitial applications such as </w:t>
      </w:r>
      <w:r w:rsidR="00B66E3B">
        <w:rPr>
          <w:rFonts w:ascii="Garamond" w:hAnsi="Garamond"/>
        </w:rPr>
        <w:t xml:space="preserve">battery-electric (BEV) </w:t>
      </w:r>
      <w:r w:rsidR="00EB0214">
        <w:rPr>
          <w:rFonts w:ascii="Garamond" w:hAnsi="Garamond"/>
        </w:rPr>
        <w:t xml:space="preserve">transit buses and </w:t>
      </w:r>
      <w:r w:rsidR="00E61AD6">
        <w:rPr>
          <w:rFonts w:ascii="Garamond" w:hAnsi="Garamond"/>
        </w:rPr>
        <w:t xml:space="preserve">BEV and </w:t>
      </w:r>
      <w:r w:rsidR="00B66E3B">
        <w:rPr>
          <w:rFonts w:ascii="Garamond" w:hAnsi="Garamond"/>
        </w:rPr>
        <w:t>fuel cell electric (</w:t>
      </w:r>
      <w:r w:rsidR="00E61AD6">
        <w:rPr>
          <w:rFonts w:ascii="Garamond" w:hAnsi="Garamond"/>
        </w:rPr>
        <w:t xml:space="preserve">FCEV) forklifts rate at the highest TRL, but </w:t>
      </w:r>
      <w:r w:rsidR="009B4721">
        <w:rPr>
          <w:rFonts w:ascii="Garamond" w:hAnsi="Garamond"/>
        </w:rPr>
        <w:t xml:space="preserve">vehicle segments with increasingly rigorous duty cycles and ranges </w:t>
      </w:r>
      <w:r w:rsidR="00F34470">
        <w:rPr>
          <w:rFonts w:ascii="Garamond" w:hAnsi="Garamond"/>
        </w:rPr>
        <w:t>show progress toward commercialization as well.</w:t>
      </w:r>
    </w:p>
    <w:p w14:paraId="3B3B10D4" w14:textId="77777777" w:rsidR="002C2F56" w:rsidRPr="00CE3C2B" w:rsidRDefault="002C2F56" w:rsidP="00CE3C2B">
      <w:pPr>
        <w:spacing w:after="80"/>
        <w:jc w:val="both"/>
        <w:rPr>
          <w:rFonts w:ascii="Garamond" w:hAnsi="Garamond"/>
        </w:rPr>
      </w:pPr>
    </w:p>
    <w:p w14:paraId="4B780A23" w14:textId="77777777" w:rsidR="00F861EF" w:rsidRDefault="00F861EF">
      <w:pPr>
        <w:spacing w:line="276" w:lineRule="auto"/>
        <w:rPr>
          <w:rStyle w:val="Strong"/>
          <w:bCs w:val="0"/>
        </w:rPr>
      </w:pPr>
      <w:r>
        <w:rPr>
          <w:rStyle w:val="Strong"/>
          <w:b w:val="0"/>
          <w:bCs w:val="0"/>
        </w:rPr>
        <w:br w:type="page"/>
      </w:r>
    </w:p>
    <w:p w14:paraId="1E33E249" w14:textId="4925D563" w:rsidR="002C2F56" w:rsidRPr="00CE3C2B" w:rsidRDefault="002C2F56" w:rsidP="00CE3C2B">
      <w:pPr>
        <w:pStyle w:val="Figures"/>
        <w:rPr>
          <w:rStyle w:val="Strong"/>
          <w:b/>
          <w:bCs w:val="0"/>
        </w:rPr>
      </w:pPr>
      <w:bookmarkStart w:id="20" w:name="_Toc53065379"/>
      <w:r w:rsidRPr="00CE3C2B">
        <w:rPr>
          <w:rStyle w:val="Strong"/>
          <w:b/>
          <w:bCs w:val="0"/>
        </w:rPr>
        <w:lastRenderedPageBreak/>
        <w:t xml:space="preserve">Figure 4: </w:t>
      </w:r>
      <w:r w:rsidR="003971DD" w:rsidRPr="00CE3C2B">
        <w:rPr>
          <w:rStyle w:val="Strong"/>
          <w:b/>
          <w:bCs w:val="0"/>
        </w:rPr>
        <w:t>Technology Readiness Levels</w:t>
      </w:r>
      <w:r w:rsidR="005875A8" w:rsidRPr="00CE3C2B">
        <w:rPr>
          <w:rStyle w:val="Strong"/>
          <w:b/>
          <w:bCs w:val="0"/>
        </w:rPr>
        <w:t xml:space="preserve"> by Vehicle Platform</w:t>
      </w:r>
      <w:bookmarkEnd w:id="20"/>
    </w:p>
    <w:p w14:paraId="2E2D62CB" w14:textId="77777777" w:rsidR="002C2F56" w:rsidRDefault="002C2F56">
      <w:pPr>
        <w:spacing w:after="80"/>
      </w:pPr>
    </w:p>
    <w:p w14:paraId="322F38E4" w14:textId="77777777" w:rsidR="007C2983" w:rsidRDefault="007C2983">
      <w:pPr>
        <w:spacing w:line="276" w:lineRule="auto"/>
      </w:pPr>
    </w:p>
    <w:p w14:paraId="01BC581B" w14:textId="3AC13CFE" w:rsidR="007C2983" w:rsidRDefault="009B5C93">
      <w:pPr>
        <w:spacing w:line="276" w:lineRule="auto"/>
      </w:pPr>
      <w:r w:rsidRPr="00461B4E">
        <w:rPr>
          <w:noProof/>
        </w:rPr>
        <w:drawing>
          <wp:inline distT="0" distB="0" distL="0" distR="0" wp14:anchorId="224DA688" wp14:editId="619920D2">
            <wp:extent cx="5943600" cy="2901308"/>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901308"/>
                    </a:xfrm>
                    <a:prstGeom prst="rect">
                      <a:avLst/>
                    </a:prstGeom>
                  </pic:spPr>
                </pic:pic>
              </a:graphicData>
            </a:graphic>
          </wp:inline>
        </w:drawing>
      </w:r>
    </w:p>
    <w:p w14:paraId="05EE9EF5" w14:textId="77777777" w:rsidR="007C2983" w:rsidRDefault="007C2983">
      <w:pPr>
        <w:spacing w:after="80"/>
      </w:pPr>
    </w:p>
    <w:tbl>
      <w:tblPr>
        <w:tblStyle w:val="TableGrid"/>
        <w:tblpPr w:leftFromText="180" w:rightFromText="180" w:vertAnchor="text" w:horzAnchor="page" w:tblpX="7242" w:tblpY="770"/>
        <w:tblOverlap w:val="never"/>
        <w:tblW w:w="4564" w:type="dxa"/>
        <w:tblLook w:val="04A0" w:firstRow="1" w:lastRow="0" w:firstColumn="1" w:lastColumn="0" w:noHBand="0" w:noVBand="1"/>
      </w:tblPr>
      <w:tblGrid>
        <w:gridCol w:w="4564"/>
      </w:tblGrid>
      <w:tr w:rsidR="001002FE" w:rsidRPr="00B91E31" w14:paraId="314D03CB" w14:textId="77777777" w:rsidTr="001002FE">
        <w:trPr>
          <w:trHeight w:val="3973"/>
        </w:trPr>
        <w:tc>
          <w:tcPr>
            <w:tcW w:w="4564" w:type="dxa"/>
            <w:shd w:val="clear" w:color="auto" w:fill="DAEEF3" w:themeFill="accent5" w:themeFillTint="33"/>
          </w:tcPr>
          <w:p w14:paraId="01477497" w14:textId="77777777" w:rsidR="001002FE" w:rsidRPr="006C7FAC" w:rsidRDefault="001002FE" w:rsidP="00CE3C2B">
            <w:pPr>
              <w:jc w:val="both"/>
              <w:rPr>
                <w:rFonts w:asciiTheme="majorHAnsi" w:hAnsiTheme="majorHAnsi" w:cstheme="majorHAnsi"/>
                <w:b/>
                <w:bCs/>
                <w:u w:val="single"/>
              </w:rPr>
            </w:pPr>
            <w:r w:rsidRPr="006C7FAC">
              <w:rPr>
                <w:rFonts w:asciiTheme="majorHAnsi" w:hAnsiTheme="majorHAnsi" w:cstheme="majorHAnsi"/>
                <w:b/>
                <w:bCs/>
                <w:u w:val="single"/>
              </w:rPr>
              <w:t>A New Tool to Find the Right Vehicle Model</w:t>
            </w:r>
          </w:p>
          <w:p w14:paraId="2D508226" w14:textId="77777777" w:rsidR="001002FE" w:rsidRPr="00B91E31" w:rsidRDefault="001002FE" w:rsidP="00CE3C2B">
            <w:pPr>
              <w:spacing w:after="80"/>
              <w:jc w:val="both"/>
              <w:rPr>
                <w:rFonts w:ascii="Garamond" w:hAnsi="Garamond"/>
              </w:rPr>
            </w:pPr>
          </w:p>
          <w:p w14:paraId="049DB59D" w14:textId="77777777" w:rsidR="001002FE" w:rsidRPr="00B91E31" w:rsidRDefault="001002FE" w:rsidP="00CE3C2B">
            <w:pPr>
              <w:spacing w:after="80"/>
              <w:jc w:val="both"/>
              <w:rPr>
                <w:rFonts w:ascii="Garamond" w:hAnsi="Garamond"/>
              </w:rPr>
            </w:pPr>
            <w:r w:rsidRPr="00B91E31">
              <w:rPr>
                <w:rFonts w:ascii="Garamond" w:hAnsi="Garamond"/>
              </w:rPr>
              <w:t xml:space="preserve">CALSTART developed a new tool to help Drive to Zero stakeholders assess </w:t>
            </w:r>
            <w:proofErr w:type="gramStart"/>
            <w:r w:rsidRPr="00B91E31">
              <w:rPr>
                <w:rFonts w:ascii="Garamond" w:hAnsi="Garamond"/>
              </w:rPr>
              <w:t>if and when</w:t>
            </w:r>
            <w:proofErr w:type="gramEnd"/>
            <w:r w:rsidRPr="00B91E31">
              <w:rPr>
                <w:rFonts w:ascii="Garamond" w:hAnsi="Garamond"/>
              </w:rPr>
              <w:t xml:space="preserve"> vehicles are available for their needs. The Zero Emissions Technology Inventory (ZETI) is an interactive online tool that allows users to search for commercially available medium- and heavy-duty vehicles by platform, geography, manufacturer, and release date. Explore available vehicles here:</w:t>
            </w:r>
            <w:r w:rsidRPr="00B91E31">
              <w:rPr>
                <w:rFonts w:ascii="Garamond" w:hAnsi="Garamond"/>
              </w:rPr>
              <w:br/>
            </w:r>
            <w:r w:rsidRPr="00B91E31">
              <w:rPr>
                <w:rFonts w:ascii="Garamond" w:hAnsi="Garamond"/>
              </w:rPr>
              <w:br/>
            </w:r>
            <w:hyperlink r:id="rId35" w:history="1">
              <w:r w:rsidRPr="00B91E31">
                <w:rPr>
                  <w:rFonts w:ascii="Garamond" w:hAnsi="Garamond"/>
                  <w:color w:val="0000FF"/>
                  <w:u w:val="single"/>
                </w:rPr>
                <w:t>https://globaldrivetozero.org/resources/zero-emission-technology-inventory/</w:t>
              </w:r>
            </w:hyperlink>
          </w:p>
        </w:tc>
      </w:tr>
    </w:tbl>
    <w:p w14:paraId="383D1A51" w14:textId="78E89D93" w:rsidR="001002FE" w:rsidRDefault="007C2983" w:rsidP="00F861EF">
      <w:pPr>
        <w:spacing w:after="80"/>
        <w:jc w:val="both"/>
        <w:rPr>
          <w:rFonts w:ascii="Garamond" w:hAnsi="Garamond"/>
        </w:rPr>
      </w:pPr>
      <w:r w:rsidRPr="00F624DD">
        <w:rPr>
          <w:rFonts w:ascii="Garamond" w:hAnsi="Garamond"/>
        </w:rPr>
        <w:t>TRL scores are meant as snapshots of a vehicle platform’s current progress, providing an aggregated score for each vehicle platform technology rather than for one vehicle model. The scoring process combines vehicle model</w:t>
      </w:r>
      <w:r w:rsidR="00D948D8">
        <w:rPr>
          <w:rFonts w:ascii="Garamond" w:hAnsi="Garamond"/>
        </w:rPr>
        <w:t xml:space="preserve"> availability</w:t>
      </w:r>
      <w:r w:rsidRPr="00F624DD">
        <w:rPr>
          <w:rFonts w:ascii="Garamond" w:hAnsi="Garamond"/>
        </w:rPr>
        <w:t xml:space="preserve"> and sales with survey results from industry partners, with weighting applied for how developed vehicle manufacturing and manufacturers are within each segment. </w:t>
      </w:r>
      <w:r w:rsidR="00B24D0A">
        <w:rPr>
          <w:rFonts w:ascii="Garamond" w:hAnsi="Garamond"/>
        </w:rPr>
        <w:t>Tracking m</w:t>
      </w:r>
      <w:r w:rsidR="00D948D8">
        <w:rPr>
          <w:rFonts w:ascii="Garamond" w:hAnsi="Garamond"/>
        </w:rPr>
        <w:t xml:space="preserve">odel availability, for example, </w:t>
      </w:r>
      <w:r w:rsidR="00E73B28">
        <w:rPr>
          <w:rFonts w:ascii="Garamond" w:hAnsi="Garamond"/>
        </w:rPr>
        <w:t>demonstrates how and when the vehicle model grows</w:t>
      </w:r>
      <w:r w:rsidR="00B24D0A">
        <w:rPr>
          <w:rFonts w:ascii="Garamond" w:hAnsi="Garamond"/>
        </w:rPr>
        <w:t xml:space="preserve">. </w:t>
      </w:r>
      <w:proofErr w:type="gramStart"/>
      <w:r w:rsidR="00B24D0A">
        <w:rPr>
          <w:rFonts w:ascii="Garamond" w:hAnsi="Garamond"/>
        </w:rPr>
        <w:t xml:space="preserve">Figure </w:t>
      </w:r>
      <w:r w:rsidR="00BD2263">
        <w:rPr>
          <w:rFonts w:ascii="Garamond" w:hAnsi="Garamond"/>
        </w:rPr>
        <w:t>5,</w:t>
      </w:r>
      <w:proofErr w:type="gramEnd"/>
      <w:r w:rsidR="00C17EBE">
        <w:rPr>
          <w:rFonts w:ascii="Garamond" w:hAnsi="Garamond"/>
        </w:rPr>
        <w:t xml:space="preserve"> developed using the Drive to Zero “Zer</w:t>
      </w:r>
      <w:r w:rsidR="005523E3">
        <w:rPr>
          <w:rFonts w:ascii="Garamond" w:hAnsi="Garamond"/>
        </w:rPr>
        <w:t>o-Emission Technology Inventory (ZETI)” tool,</w:t>
      </w:r>
      <w:r w:rsidR="006A69CC">
        <w:rPr>
          <w:rStyle w:val="FootnoteReference"/>
          <w:rFonts w:ascii="Garamond" w:hAnsi="Garamond"/>
        </w:rPr>
        <w:footnoteReference w:id="13"/>
      </w:r>
      <w:r w:rsidR="00B24D0A">
        <w:rPr>
          <w:rFonts w:ascii="Garamond" w:hAnsi="Garamond"/>
        </w:rPr>
        <w:t xml:space="preserve"> indicates model availability </w:t>
      </w:r>
      <w:r w:rsidR="00561638">
        <w:rPr>
          <w:rFonts w:ascii="Garamond" w:hAnsi="Garamond"/>
        </w:rPr>
        <w:t xml:space="preserve">for on-road vehicle segments and yard tractors </w:t>
      </w:r>
      <w:r w:rsidR="00B24D0A">
        <w:rPr>
          <w:rFonts w:ascii="Garamond" w:hAnsi="Garamond"/>
        </w:rPr>
        <w:t>beyond</w:t>
      </w:r>
      <w:r w:rsidR="00561638">
        <w:rPr>
          <w:rFonts w:ascii="Garamond" w:hAnsi="Garamond"/>
        </w:rPr>
        <w:t xml:space="preserve"> </w:t>
      </w:r>
      <w:r w:rsidR="00D45184">
        <w:rPr>
          <w:rFonts w:ascii="Garamond" w:hAnsi="Garamond"/>
        </w:rPr>
        <w:t xml:space="preserve">the </w:t>
      </w:r>
      <w:r w:rsidR="00561638">
        <w:rPr>
          <w:rFonts w:ascii="Garamond" w:hAnsi="Garamond"/>
        </w:rPr>
        <w:t xml:space="preserve">initial </w:t>
      </w:r>
      <w:r w:rsidR="00D45184">
        <w:rPr>
          <w:rFonts w:ascii="Garamond" w:hAnsi="Garamond"/>
        </w:rPr>
        <w:t xml:space="preserve">applications of transit buses and </w:t>
      </w:r>
      <w:r w:rsidR="006F2F77">
        <w:rPr>
          <w:rFonts w:ascii="Garamond" w:hAnsi="Garamond"/>
        </w:rPr>
        <w:t>light lifts.</w:t>
      </w:r>
      <w:r w:rsidR="00EB550C">
        <w:rPr>
          <w:rFonts w:ascii="Garamond" w:hAnsi="Garamond"/>
        </w:rPr>
        <w:t xml:space="preserve"> The</w:t>
      </w:r>
      <w:r w:rsidR="00C17EBE">
        <w:rPr>
          <w:rFonts w:ascii="Garamond" w:hAnsi="Garamond"/>
        </w:rPr>
        <w:t xml:space="preserve"> trends evident in the figure</w:t>
      </w:r>
      <w:r w:rsidR="00635677">
        <w:rPr>
          <w:rFonts w:ascii="Garamond" w:hAnsi="Garamond"/>
        </w:rPr>
        <w:t xml:space="preserve"> indicate that great c</w:t>
      </w:r>
      <w:r w:rsidR="00E73B28" w:rsidRPr="00E73B28">
        <w:rPr>
          <w:rFonts w:ascii="Garamond" w:hAnsi="Garamond"/>
        </w:rPr>
        <w:t xml:space="preserve">urrently available vehicle </w:t>
      </w:r>
      <w:r w:rsidR="00635677">
        <w:rPr>
          <w:rFonts w:ascii="Garamond" w:hAnsi="Garamond"/>
        </w:rPr>
        <w:t>models</w:t>
      </w:r>
      <w:r w:rsidR="00E73B28" w:rsidRPr="00E73B28">
        <w:rPr>
          <w:rFonts w:ascii="Garamond" w:hAnsi="Garamond"/>
        </w:rPr>
        <w:t xml:space="preserve"> tend to be designed for shorter distances, particularly for smaller vehicles</w:t>
      </w:r>
      <w:r w:rsidR="002046F8">
        <w:rPr>
          <w:rFonts w:ascii="Garamond" w:hAnsi="Garamond"/>
        </w:rPr>
        <w:t>, but that vehicle ranges will grow over time, particularly for heavier vehicles with long-distance applications.</w:t>
      </w:r>
      <w:r w:rsidR="005A178B">
        <w:rPr>
          <w:rFonts w:ascii="Garamond" w:hAnsi="Garamond"/>
        </w:rPr>
        <w:t xml:space="preserve"> </w:t>
      </w:r>
      <w:r w:rsidR="005A178B" w:rsidRPr="00E73B28">
        <w:rPr>
          <w:rFonts w:ascii="Garamond" w:hAnsi="Garamond"/>
        </w:rPr>
        <w:t>Yard tractors are not inhibited by range and can perform their functions as currently constructed</w:t>
      </w:r>
      <w:r w:rsidR="001002FE">
        <w:rPr>
          <w:rFonts w:ascii="Garamond" w:hAnsi="Garamond"/>
        </w:rPr>
        <w:t>.</w:t>
      </w:r>
    </w:p>
    <w:p w14:paraId="68636BA7" w14:textId="77777777" w:rsidR="00F861EF" w:rsidRDefault="00F861EF">
      <w:pPr>
        <w:spacing w:line="276" w:lineRule="auto"/>
        <w:rPr>
          <w:rStyle w:val="Strong"/>
          <w:bCs w:val="0"/>
        </w:rPr>
      </w:pPr>
      <w:r>
        <w:rPr>
          <w:rStyle w:val="Strong"/>
          <w:b w:val="0"/>
          <w:bCs w:val="0"/>
        </w:rPr>
        <w:br w:type="page"/>
      </w:r>
    </w:p>
    <w:p w14:paraId="0D4DCADF" w14:textId="6C3C8266" w:rsidR="00BD2263" w:rsidRPr="00CE3C2B" w:rsidRDefault="00BD2263" w:rsidP="00CE3C2B">
      <w:pPr>
        <w:pStyle w:val="Figures"/>
        <w:rPr>
          <w:rStyle w:val="Strong"/>
          <w:b/>
          <w:bCs w:val="0"/>
        </w:rPr>
      </w:pPr>
      <w:bookmarkStart w:id="21" w:name="_Toc53065380"/>
      <w:r w:rsidRPr="00CE3C2B">
        <w:rPr>
          <w:rStyle w:val="Strong"/>
          <w:b/>
          <w:bCs w:val="0"/>
        </w:rPr>
        <w:lastRenderedPageBreak/>
        <w:t xml:space="preserve">Figure 5: </w:t>
      </w:r>
      <w:r w:rsidR="007D4F47" w:rsidRPr="00CE3C2B">
        <w:rPr>
          <w:rStyle w:val="Strong"/>
          <w:b/>
          <w:bCs w:val="0"/>
        </w:rPr>
        <w:t>Current and Announced ZECV Models by Range, Release Date, and Platform for U.S.</w:t>
      </w:r>
      <w:r w:rsidR="00470175" w:rsidRPr="00CE3C2B">
        <w:rPr>
          <w:rStyle w:val="Strong"/>
          <w:b/>
          <w:bCs w:val="0"/>
        </w:rPr>
        <w:t>, Canada, Europe, and China Markets</w:t>
      </w:r>
      <w:bookmarkEnd w:id="21"/>
    </w:p>
    <w:p w14:paraId="4FF1E0E7" w14:textId="77777777" w:rsidR="00BD2263" w:rsidRDefault="00BD2263" w:rsidP="007C2983">
      <w:pPr>
        <w:spacing w:after="80"/>
        <w:rPr>
          <w:rFonts w:ascii="Garamond" w:hAnsi="Garamond"/>
        </w:rPr>
      </w:pPr>
    </w:p>
    <w:p w14:paraId="2FC5926B" w14:textId="0A8D2E50" w:rsidR="001002FE" w:rsidRDefault="00341422" w:rsidP="007C2983">
      <w:pPr>
        <w:spacing w:after="80"/>
        <w:rPr>
          <w:rFonts w:ascii="Garamond" w:hAnsi="Garamond"/>
        </w:rPr>
      </w:pPr>
      <w:r w:rsidRPr="00B56E5A">
        <w:rPr>
          <w:rStyle w:val="normaltextrun"/>
          <w:noProof/>
          <w:color w:val="000000"/>
          <w:szCs w:val="22"/>
          <w:shd w:val="clear" w:color="auto" w:fill="FFFFFF"/>
        </w:rPr>
        <w:drawing>
          <wp:inline distT="0" distB="0" distL="0" distR="0" wp14:anchorId="65366004" wp14:editId="720E790E">
            <wp:extent cx="5044440" cy="362057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55227" cy="3628313"/>
                    </a:xfrm>
                    <a:prstGeom prst="rect">
                      <a:avLst/>
                    </a:prstGeom>
                  </pic:spPr>
                </pic:pic>
              </a:graphicData>
            </a:graphic>
          </wp:inline>
        </w:drawing>
      </w:r>
    </w:p>
    <w:p w14:paraId="0D5F0DDF" w14:textId="6D2473B2" w:rsidR="00E73B28" w:rsidRDefault="00E73B28" w:rsidP="007C2983">
      <w:pPr>
        <w:spacing w:after="80"/>
        <w:rPr>
          <w:rFonts w:ascii="Garamond" w:hAnsi="Garamond"/>
        </w:rPr>
      </w:pPr>
    </w:p>
    <w:p w14:paraId="29C88672" w14:textId="77777777" w:rsidR="007C2983" w:rsidRDefault="007C2983">
      <w:pPr>
        <w:spacing w:after="80"/>
      </w:pPr>
    </w:p>
    <w:p w14:paraId="40981F34" w14:textId="259A265B" w:rsidR="001C6554" w:rsidRDefault="001C6554">
      <w:pPr>
        <w:spacing w:line="276" w:lineRule="auto"/>
        <w:rPr>
          <w:sz w:val="40"/>
          <w:szCs w:val="40"/>
        </w:rPr>
      </w:pPr>
      <w:bookmarkStart w:id="22" w:name="_yszbxmh4a480" w:colFirst="0" w:colLast="0"/>
      <w:bookmarkEnd w:id="22"/>
      <w:r>
        <w:br w:type="page"/>
      </w:r>
    </w:p>
    <w:p w14:paraId="3D7E9B19" w14:textId="14E89F2E" w:rsidR="00AD4C97" w:rsidRDefault="00AD4C97">
      <w:pPr>
        <w:pStyle w:val="Heading1"/>
        <w:spacing w:before="240" w:after="240"/>
      </w:pPr>
      <w:bookmarkStart w:id="23" w:name="_Toc53065363"/>
      <w:r>
        <w:lastRenderedPageBreak/>
        <w:t>Chapter 2. Technology Transfer</w:t>
      </w:r>
      <w:bookmarkEnd w:id="23"/>
    </w:p>
    <w:p w14:paraId="3F10F82F" w14:textId="51160088" w:rsidR="00AD4C97" w:rsidRPr="00052F8A" w:rsidRDefault="00AD4C97" w:rsidP="00CE3C2B">
      <w:pPr>
        <w:spacing w:before="240" w:after="240"/>
        <w:jc w:val="both"/>
        <w:rPr>
          <w:rFonts w:ascii="Garamond" w:hAnsi="Garamond"/>
        </w:rPr>
      </w:pPr>
      <w:r w:rsidRPr="00052F8A">
        <w:rPr>
          <w:rFonts w:ascii="Garamond" w:hAnsi="Garamond"/>
        </w:rPr>
        <w:t xml:space="preserve">As pathways proceed beyond initial beachhead applications in urban environments, zero-emission technologies will expand to </w:t>
      </w:r>
      <w:r w:rsidR="00103624">
        <w:rPr>
          <w:rFonts w:ascii="Garamond" w:hAnsi="Garamond"/>
        </w:rPr>
        <w:t xml:space="preserve">applications with </w:t>
      </w:r>
      <w:r w:rsidRPr="00052F8A">
        <w:rPr>
          <w:rFonts w:ascii="Garamond" w:hAnsi="Garamond"/>
        </w:rPr>
        <w:t xml:space="preserve">heavier duty cycles, often along longer and less predictable routes. </w:t>
      </w:r>
      <w:r w:rsidR="00775C96">
        <w:rPr>
          <w:rFonts w:ascii="Garamond" w:hAnsi="Garamond"/>
        </w:rPr>
        <w:t>Such e</w:t>
      </w:r>
      <w:r w:rsidRPr="00052F8A">
        <w:rPr>
          <w:rFonts w:ascii="Garamond" w:hAnsi="Garamond"/>
        </w:rPr>
        <w:t>xpansions are supported by component transfers from one vehicle application to another</w:t>
      </w:r>
      <w:r>
        <w:rPr>
          <w:rFonts w:ascii="Garamond" w:hAnsi="Garamond"/>
        </w:rPr>
        <w:t xml:space="preserve">, as </w:t>
      </w:r>
      <w:r w:rsidRPr="00052F8A">
        <w:rPr>
          <w:rFonts w:ascii="Garamond" w:hAnsi="Garamond"/>
        </w:rPr>
        <w:t>ZECVs share many technologies that can be transferred or applied from an initial beachhead technology to a secondary application (e.g. batteries and drivetrains that support transit buses can also support delivery vans). This component and technology transfer is a critical step in the beachhead model: production of components that can support many applications will lead to increased production volumes that reduce cost over time</w:t>
      </w:r>
      <w:r w:rsidR="00987141">
        <w:rPr>
          <w:rFonts w:ascii="Garamond" w:hAnsi="Garamond"/>
        </w:rPr>
        <w:t xml:space="preserve"> </w:t>
      </w:r>
      <w:r w:rsidR="00987141" w:rsidRPr="00D3621F">
        <w:rPr>
          <w:rFonts w:ascii="Garamond" w:hAnsi="Garamond"/>
        </w:rPr>
        <w:t>(CARB, 2020).</w:t>
      </w:r>
    </w:p>
    <w:p w14:paraId="38DF0CAA" w14:textId="1E0241F2" w:rsidR="00AD4C97" w:rsidRPr="00052F8A" w:rsidRDefault="00AD4C97" w:rsidP="00CE3C2B">
      <w:pPr>
        <w:spacing w:before="240" w:after="240"/>
        <w:jc w:val="both"/>
        <w:rPr>
          <w:rFonts w:ascii="Garamond" w:hAnsi="Garamond"/>
        </w:rPr>
      </w:pPr>
      <w:r w:rsidRPr="00052F8A">
        <w:rPr>
          <w:rFonts w:ascii="Garamond" w:hAnsi="Garamond"/>
        </w:rPr>
        <w:t>Supply chain and component streamlining is implemented at both regional and global scales. The advantages of using interchangeable components is immediately experienced through local supply chains. Vehicle operators and servicers will have a steady supply of components that meet multiple vehicle types, ensuring that new vehicle technologies c</w:t>
      </w:r>
      <w:r>
        <w:rPr>
          <w:rFonts w:ascii="Garamond" w:hAnsi="Garamond"/>
        </w:rPr>
        <w:t>a</w:t>
      </w:r>
      <w:r w:rsidRPr="00052F8A">
        <w:rPr>
          <w:rFonts w:ascii="Garamond" w:hAnsi="Garamond"/>
        </w:rPr>
        <w:t>n reliably operate and are not constrained by a shortage of unique and expensive components. Transferrable components also benefit manufacturers by making platforms and parts less expensive to develop and produce at scale, providing a competitive advantage and allowing for flexible production in markets around the world</w:t>
      </w:r>
      <w:r w:rsidR="00987141">
        <w:rPr>
          <w:rFonts w:ascii="Garamond" w:hAnsi="Garamond"/>
        </w:rPr>
        <w:t xml:space="preserve"> </w:t>
      </w:r>
      <w:r w:rsidR="00987141" w:rsidRPr="00D3621F">
        <w:rPr>
          <w:rFonts w:ascii="Garamond" w:hAnsi="Garamond"/>
        </w:rPr>
        <w:t>(CARB, 2020).</w:t>
      </w:r>
    </w:p>
    <w:p w14:paraId="1BE49270" w14:textId="5150A029" w:rsidR="00AD4C97" w:rsidRPr="00052F8A" w:rsidRDefault="00AD4C97" w:rsidP="00CE3C2B">
      <w:pPr>
        <w:spacing w:before="240" w:after="240"/>
        <w:jc w:val="both"/>
        <w:rPr>
          <w:rFonts w:ascii="Garamond" w:hAnsi="Garamond"/>
        </w:rPr>
      </w:pPr>
      <w:r w:rsidRPr="3E8645EE">
        <w:rPr>
          <w:rFonts w:ascii="Garamond" w:hAnsi="Garamond"/>
        </w:rPr>
        <w:t xml:space="preserve">Component and technology transfer </w:t>
      </w:r>
      <w:proofErr w:type="gramStart"/>
      <w:r w:rsidRPr="3E8645EE">
        <w:rPr>
          <w:rFonts w:ascii="Garamond" w:hAnsi="Garamond"/>
        </w:rPr>
        <w:t>is</w:t>
      </w:r>
      <w:proofErr w:type="gramEnd"/>
      <w:r w:rsidRPr="3E8645EE">
        <w:rPr>
          <w:rFonts w:ascii="Garamond" w:hAnsi="Garamond"/>
        </w:rPr>
        <w:t xml:space="preserve"> perhaps the most essential element to creating a ZECV market that meets increasingly rigorous duty cycles while expanding production capacities and simultaneously reducing costs. Additional process improvements that support beachhead technology expansion include improved manufacturing capability and operational practices. Innovation in </w:t>
      </w:r>
      <w:proofErr w:type="gramStart"/>
      <w:r w:rsidRPr="3E8645EE">
        <w:rPr>
          <w:rFonts w:ascii="Garamond" w:hAnsi="Garamond"/>
        </w:rPr>
        <w:t>all of</w:t>
      </w:r>
      <w:proofErr w:type="gramEnd"/>
      <w:r w:rsidRPr="3E8645EE">
        <w:rPr>
          <w:rFonts w:ascii="Garamond" w:hAnsi="Garamond"/>
        </w:rPr>
        <w:t xml:space="preserve"> these categories will allow vehicle manufacturers to create diverse ZECV fleets that can meet a growing number of applications.</w:t>
      </w:r>
    </w:p>
    <w:p w14:paraId="05EA0B8B" w14:textId="4B36FD9E" w:rsidR="00AD4C97" w:rsidRPr="00052F8A" w:rsidRDefault="00AD4C97" w:rsidP="00CE3C2B">
      <w:pPr>
        <w:pStyle w:val="Heading2"/>
      </w:pPr>
      <w:bookmarkStart w:id="24" w:name="_Toc53065364"/>
      <w:r w:rsidRPr="00052F8A">
        <w:t xml:space="preserve">Component Transfer and </w:t>
      </w:r>
      <w:r w:rsidR="00603A09">
        <w:t>Manufacturing</w:t>
      </w:r>
      <w:r w:rsidR="00603A09" w:rsidRPr="00052F8A">
        <w:t xml:space="preserve"> </w:t>
      </w:r>
      <w:r w:rsidRPr="00052F8A">
        <w:t>Innovation</w:t>
      </w:r>
      <w:r w:rsidR="005B474E">
        <w:t xml:space="preserve"> within </w:t>
      </w:r>
      <w:r w:rsidR="00ED09BF">
        <w:t>Open and Closed</w:t>
      </w:r>
      <w:r w:rsidR="005B474E">
        <w:t xml:space="preserve"> System</w:t>
      </w:r>
      <w:r w:rsidR="00FA6FC5">
        <w:t xml:space="preserve"> Applications</w:t>
      </w:r>
      <w:bookmarkEnd w:id="24"/>
    </w:p>
    <w:p w14:paraId="6D22E9BA" w14:textId="37A81A39" w:rsidR="00AD4C97" w:rsidRPr="002C738E" w:rsidRDefault="00AD4C97" w:rsidP="00CE3C2B">
      <w:pPr>
        <w:jc w:val="both"/>
        <w:rPr>
          <w:rFonts w:ascii="Garamond" w:hAnsi="Garamond" w:cstheme="minorHAnsi"/>
        </w:rPr>
      </w:pPr>
      <w:r w:rsidRPr="00052F8A">
        <w:rPr>
          <w:rFonts w:ascii="Garamond" w:hAnsi="Garamond" w:cstheme="minorHAnsi"/>
        </w:rPr>
        <w:t xml:space="preserve">Because the zero-emission components that drive a transit bus are similar to the components that will drive vans, delivery trucks, and work trucks, manufacturers will be able to produce new vehicles using their existing and modified components to meet new duty cycles at low cost and with limited resources. </w:t>
      </w:r>
      <w:r w:rsidRPr="00052F8A">
        <w:rPr>
          <w:rFonts w:ascii="Garamond" w:hAnsi="Garamond"/>
        </w:rPr>
        <w:t xml:space="preserve">Common powertrains and components (e.g. motors, power electronics, energy storage) can be transferred to other applications with similar power and torque </w:t>
      </w:r>
      <w:proofErr w:type="gramStart"/>
      <w:r w:rsidRPr="00052F8A">
        <w:rPr>
          <w:rFonts w:ascii="Garamond" w:hAnsi="Garamond"/>
        </w:rPr>
        <w:t>needs, or</w:t>
      </w:r>
      <w:proofErr w:type="gramEnd"/>
      <w:r w:rsidRPr="00052F8A">
        <w:rPr>
          <w:rFonts w:ascii="Garamond" w:hAnsi="Garamond"/>
        </w:rPr>
        <w:t xml:space="preserve"> can be modified to suit other applications</w:t>
      </w:r>
      <w:r w:rsidR="00987141">
        <w:rPr>
          <w:rFonts w:ascii="Garamond" w:hAnsi="Garamond" w:cstheme="minorHAnsi"/>
        </w:rPr>
        <w:t xml:space="preserve"> </w:t>
      </w:r>
      <w:r w:rsidR="00987141" w:rsidRPr="00D3621F">
        <w:rPr>
          <w:rFonts w:ascii="Garamond" w:hAnsi="Garamond"/>
        </w:rPr>
        <w:t>(CARB, 2020).</w:t>
      </w:r>
      <w:r w:rsidRPr="00052F8A">
        <w:rPr>
          <w:rFonts w:ascii="Garamond" w:hAnsi="Garamond" w:cstheme="minorHAnsi"/>
        </w:rPr>
        <w:t xml:space="preserve"> Consequently, ZECV manufacturers will be able to, and indeed already are beginning to, pivot to produce new vehicle platforms. </w:t>
      </w:r>
      <w:r w:rsidRPr="00B85575">
        <w:rPr>
          <w:rFonts w:ascii="Garamond" w:hAnsi="Garamond" w:cstheme="minorHAnsi"/>
        </w:rPr>
        <w:t>Table 3 includes a list of common ZEV components that are transferable between ZEV models and applications.</w:t>
      </w:r>
    </w:p>
    <w:p w14:paraId="489943EC" w14:textId="3ACF95EB" w:rsidR="00AD4C97" w:rsidRPr="002C738E" w:rsidRDefault="00AD4C97" w:rsidP="002C738E">
      <w:pPr>
        <w:rPr>
          <w:rFonts w:cstheme="minorHAnsi"/>
        </w:rPr>
      </w:pPr>
    </w:p>
    <w:p w14:paraId="48B72266" w14:textId="5FED861C" w:rsidR="00AD4C97" w:rsidRPr="00CE3C2B" w:rsidRDefault="00AD4C97" w:rsidP="00CE3C2B">
      <w:pPr>
        <w:pStyle w:val="Tables"/>
        <w:rPr>
          <w:rStyle w:val="Emphasis"/>
          <w:i w:val="0"/>
          <w:iCs w:val="0"/>
        </w:rPr>
      </w:pPr>
      <w:bookmarkStart w:id="25" w:name="_Toc53065383"/>
      <w:r w:rsidRPr="00CE3C2B">
        <w:rPr>
          <w:rStyle w:val="Emphasis"/>
          <w:i w:val="0"/>
          <w:iCs w:val="0"/>
        </w:rPr>
        <w:t>Table 3: ZEV Systems and Common Transferable Components</w:t>
      </w:r>
      <w:bookmarkEnd w:id="25"/>
    </w:p>
    <w:p w14:paraId="3AB5874C" w14:textId="23768A42" w:rsidR="00AD4C97" w:rsidRPr="00507854" w:rsidRDefault="00AD4C97" w:rsidP="00507854">
      <w:pPr>
        <w:rPr>
          <w:rFonts w:cstheme="minorHAnsi"/>
        </w:rPr>
      </w:pPr>
    </w:p>
    <w:tbl>
      <w:tblPr>
        <w:tblStyle w:val="TableGrid"/>
        <w:tblW w:w="0" w:type="auto"/>
        <w:tblLook w:val="04A0" w:firstRow="1" w:lastRow="0" w:firstColumn="1" w:lastColumn="0" w:noHBand="0" w:noVBand="1"/>
      </w:tblPr>
      <w:tblGrid>
        <w:gridCol w:w="1345"/>
        <w:gridCol w:w="1890"/>
        <w:gridCol w:w="6115"/>
      </w:tblGrid>
      <w:tr w:rsidR="00AD4C97" w:rsidRPr="002C738E" w14:paraId="540B4A63" w14:textId="77777777" w:rsidTr="00052F8A">
        <w:tc>
          <w:tcPr>
            <w:tcW w:w="1345" w:type="dxa"/>
          </w:tcPr>
          <w:p w14:paraId="7D4D3708" w14:textId="0D5F44CE" w:rsidR="00AD4C97" w:rsidRPr="00B85575" w:rsidRDefault="00AD4C97" w:rsidP="00347682">
            <w:pPr>
              <w:rPr>
                <w:rFonts w:ascii="Garamond" w:hAnsi="Garamond" w:cstheme="minorHAnsi"/>
                <w:b/>
                <w:bCs/>
              </w:rPr>
            </w:pPr>
            <w:r w:rsidRPr="00B85575">
              <w:rPr>
                <w:rFonts w:ascii="Garamond" w:hAnsi="Garamond" w:cstheme="minorHAnsi"/>
                <w:b/>
                <w:bCs/>
              </w:rPr>
              <w:t>Vehicle System</w:t>
            </w:r>
          </w:p>
        </w:tc>
        <w:tc>
          <w:tcPr>
            <w:tcW w:w="1890" w:type="dxa"/>
          </w:tcPr>
          <w:p w14:paraId="16453275" w14:textId="39806B2A" w:rsidR="00AD4C97" w:rsidRPr="00B85575" w:rsidRDefault="00AD4C97" w:rsidP="008C7153">
            <w:pPr>
              <w:rPr>
                <w:rFonts w:ascii="Garamond" w:hAnsi="Garamond" w:cstheme="minorHAnsi"/>
                <w:b/>
                <w:bCs/>
              </w:rPr>
            </w:pPr>
            <w:r w:rsidRPr="00B85575">
              <w:rPr>
                <w:rFonts w:ascii="Garamond" w:hAnsi="Garamond" w:cstheme="minorHAnsi"/>
                <w:b/>
                <w:bCs/>
              </w:rPr>
              <w:t>Component Class</w:t>
            </w:r>
          </w:p>
        </w:tc>
        <w:tc>
          <w:tcPr>
            <w:tcW w:w="6115" w:type="dxa"/>
          </w:tcPr>
          <w:p w14:paraId="77AD726A" w14:textId="39644EDB" w:rsidR="00AD4C97" w:rsidRPr="00B85575" w:rsidRDefault="00AD4C97" w:rsidP="00CE3C2B">
            <w:pPr>
              <w:jc w:val="both"/>
              <w:rPr>
                <w:rFonts w:ascii="Garamond" w:hAnsi="Garamond" w:cstheme="minorHAnsi"/>
                <w:b/>
                <w:bCs/>
              </w:rPr>
            </w:pPr>
            <w:r w:rsidRPr="00B85575">
              <w:rPr>
                <w:rFonts w:ascii="Garamond" w:hAnsi="Garamond" w:cstheme="minorHAnsi"/>
                <w:b/>
                <w:bCs/>
              </w:rPr>
              <w:t>Description</w:t>
            </w:r>
          </w:p>
        </w:tc>
      </w:tr>
      <w:tr w:rsidR="00AD4C97" w:rsidRPr="002C738E" w14:paraId="7DB114D7" w14:textId="77777777" w:rsidTr="00052F8A">
        <w:tc>
          <w:tcPr>
            <w:tcW w:w="1345" w:type="dxa"/>
          </w:tcPr>
          <w:p w14:paraId="503197CC" w14:textId="4442D6CF" w:rsidR="00AD4C97" w:rsidRPr="00B85575" w:rsidRDefault="00AD4C97" w:rsidP="002C738E">
            <w:pPr>
              <w:rPr>
                <w:rFonts w:ascii="Garamond" w:hAnsi="Garamond" w:cstheme="minorHAnsi"/>
              </w:rPr>
            </w:pPr>
            <w:r w:rsidRPr="00B85575">
              <w:rPr>
                <w:rFonts w:ascii="Garamond" w:hAnsi="Garamond" w:cstheme="minorHAnsi"/>
              </w:rPr>
              <w:t>Energy Storage</w:t>
            </w:r>
          </w:p>
        </w:tc>
        <w:tc>
          <w:tcPr>
            <w:tcW w:w="1890" w:type="dxa"/>
          </w:tcPr>
          <w:p w14:paraId="1999532A" w14:textId="1F513591" w:rsidR="00AD4C97" w:rsidRPr="00B85575" w:rsidRDefault="00AD4C97" w:rsidP="002C738E">
            <w:pPr>
              <w:rPr>
                <w:rFonts w:ascii="Garamond" w:hAnsi="Garamond" w:cstheme="minorHAnsi"/>
              </w:rPr>
            </w:pPr>
            <w:r w:rsidRPr="00B85575">
              <w:rPr>
                <w:rFonts w:ascii="Garamond" w:hAnsi="Garamond" w:cstheme="minorHAnsi"/>
              </w:rPr>
              <w:t>Main Battery</w:t>
            </w:r>
          </w:p>
        </w:tc>
        <w:tc>
          <w:tcPr>
            <w:tcW w:w="6115" w:type="dxa"/>
          </w:tcPr>
          <w:p w14:paraId="2A1834DF" w14:textId="3ED183E6" w:rsidR="00AD4C97" w:rsidRPr="00B85575" w:rsidRDefault="00AD4C97" w:rsidP="00CE3C2B">
            <w:pPr>
              <w:jc w:val="both"/>
              <w:rPr>
                <w:rFonts w:ascii="Garamond" w:hAnsi="Garamond" w:cstheme="minorHAnsi"/>
              </w:rPr>
            </w:pPr>
            <w:r w:rsidRPr="00B85575">
              <w:rPr>
                <w:rStyle w:val="normaltextrun"/>
                <w:rFonts w:ascii="Garamond" w:hAnsi="Garamond"/>
              </w:rPr>
              <w:t>Primary battery system that powers the electric motor(s)</w:t>
            </w:r>
          </w:p>
        </w:tc>
      </w:tr>
      <w:tr w:rsidR="00AD4C97" w:rsidRPr="002C738E" w14:paraId="245AF209" w14:textId="77777777" w:rsidTr="00052F8A">
        <w:tc>
          <w:tcPr>
            <w:tcW w:w="1345" w:type="dxa"/>
            <w:vMerge w:val="restart"/>
          </w:tcPr>
          <w:p w14:paraId="732F6701" w14:textId="2BAD677D" w:rsidR="00AD4C97" w:rsidRPr="00B85575" w:rsidRDefault="00AD4C97" w:rsidP="002C738E">
            <w:pPr>
              <w:rPr>
                <w:rFonts w:ascii="Garamond" w:hAnsi="Garamond" w:cstheme="minorHAnsi"/>
              </w:rPr>
            </w:pPr>
            <w:r w:rsidRPr="00B85575">
              <w:rPr>
                <w:rFonts w:ascii="Garamond" w:hAnsi="Garamond" w:cstheme="minorHAnsi"/>
              </w:rPr>
              <w:lastRenderedPageBreak/>
              <w:t>Propulsion</w:t>
            </w:r>
          </w:p>
        </w:tc>
        <w:tc>
          <w:tcPr>
            <w:tcW w:w="1890" w:type="dxa"/>
          </w:tcPr>
          <w:p w14:paraId="7C8F93AA" w14:textId="6037FA2D" w:rsidR="00AD4C97" w:rsidRPr="00B85575" w:rsidRDefault="00AD4C97" w:rsidP="002C738E">
            <w:pPr>
              <w:rPr>
                <w:rFonts w:ascii="Garamond" w:hAnsi="Garamond" w:cstheme="minorHAnsi"/>
              </w:rPr>
            </w:pPr>
            <w:r w:rsidRPr="00B85575">
              <w:rPr>
                <w:rFonts w:ascii="Garamond" w:hAnsi="Garamond" w:cstheme="minorHAnsi"/>
              </w:rPr>
              <w:t>Electric Motor</w:t>
            </w:r>
          </w:p>
        </w:tc>
        <w:tc>
          <w:tcPr>
            <w:tcW w:w="6115" w:type="dxa"/>
          </w:tcPr>
          <w:p w14:paraId="2B20CCBB" w14:textId="5C3A1774" w:rsidR="00AD4C97" w:rsidRPr="00B85575" w:rsidRDefault="00AD4C97" w:rsidP="00CE3C2B">
            <w:pPr>
              <w:jc w:val="both"/>
              <w:rPr>
                <w:rFonts w:ascii="Garamond" w:hAnsi="Garamond" w:cstheme="minorHAnsi"/>
              </w:rPr>
            </w:pPr>
            <w:r w:rsidRPr="00B85575">
              <w:rPr>
                <w:rStyle w:val="normaltextrun"/>
                <w:rFonts w:ascii="Garamond" w:hAnsi="Garamond"/>
              </w:rPr>
              <w:t>Converts the energy stored in the main battery to propel the vehicle</w:t>
            </w:r>
          </w:p>
        </w:tc>
      </w:tr>
      <w:tr w:rsidR="00AD4C97" w:rsidRPr="002C738E" w14:paraId="77FB2760" w14:textId="77777777" w:rsidTr="00052F8A">
        <w:tc>
          <w:tcPr>
            <w:tcW w:w="1345" w:type="dxa"/>
            <w:vMerge/>
          </w:tcPr>
          <w:p w14:paraId="5003FD6A" w14:textId="6412B579" w:rsidR="00AD4C97" w:rsidRPr="00B85575" w:rsidRDefault="00AD4C97">
            <w:pPr>
              <w:rPr>
                <w:rFonts w:ascii="Garamond" w:hAnsi="Garamond" w:cstheme="minorHAnsi"/>
              </w:rPr>
            </w:pPr>
          </w:p>
        </w:tc>
        <w:tc>
          <w:tcPr>
            <w:tcW w:w="1890" w:type="dxa"/>
          </w:tcPr>
          <w:p w14:paraId="441DA38C" w14:textId="3C987D5F" w:rsidR="00AD4C97" w:rsidRPr="00B85575" w:rsidRDefault="00AD4C97">
            <w:pPr>
              <w:rPr>
                <w:rFonts w:ascii="Garamond" w:hAnsi="Garamond" w:cstheme="minorHAnsi"/>
              </w:rPr>
            </w:pPr>
            <w:r w:rsidRPr="00B85575">
              <w:rPr>
                <w:rFonts w:ascii="Garamond" w:hAnsi="Garamond" w:cstheme="minorHAnsi"/>
              </w:rPr>
              <w:t>Regenerative Braking</w:t>
            </w:r>
          </w:p>
        </w:tc>
        <w:tc>
          <w:tcPr>
            <w:tcW w:w="6115" w:type="dxa"/>
          </w:tcPr>
          <w:p w14:paraId="40181C1C" w14:textId="29887DF8" w:rsidR="00AD4C97" w:rsidRPr="00B85575" w:rsidRDefault="00AD4C97" w:rsidP="00CE3C2B">
            <w:pPr>
              <w:jc w:val="both"/>
              <w:rPr>
                <w:rFonts w:ascii="Garamond" w:hAnsi="Garamond" w:cstheme="minorHAnsi"/>
              </w:rPr>
            </w:pPr>
            <w:r w:rsidRPr="00B85575">
              <w:rPr>
                <w:rStyle w:val="normaltextrun"/>
                <w:rFonts w:ascii="Garamond" w:hAnsi="Garamond"/>
              </w:rPr>
              <w:t>Recaptures kinetic energy when slowing a vehicle to store in the main battery system</w:t>
            </w:r>
          </w:p>
        </w:tc>
      </w:tr>
      <w:tr w:rsidR="00AD4C97" w:rsidRPr="002C738E" w14:paraId="325E5A1A" w14:textId="77777777" w:rsidTr="00052F8A">
        <w:tc>
          <w:tcPr>
            <w:tcW w:w="1345" w:type="dxa"/>
            <w:vMerge/>
          </w:tcPr>
          <w:p w14:paraId="79227978" w14:textId="3CC8D646" w:rsidR="00AD4C97" w:rsidRPr="00B85575" w:rsidRDefault="00AD4C97">
            <w:pPr>
              <w:rPr>
                <w:rFonts w:ascii="Garamond" w:hAnsi="Garamond" w:cstheme="minorHAnsi"/>
              </w:rPr>
            </w:pPr>
          </w:p>
        </w:tc>
        <w:tc>
          <w:tcPr>
            <w:tcW w:w="1890" w:type="dxa"/>
          </w:tcPr>
          <w:p w14:paraId="3A9AEA81" w14:textId="73558DDE" w:rsidR="00AD4C97" w:rsidRPr="00B85575" w:rsidRDefault="00AD4C97">
            <w:pPr>
              <w:rPr>
                <w:rFonts w:ascii="Garamond" w:hAnsi="Garamond" w:cstheme="minorHAnsi"/>
              </w:rPr>
            </w:pPr>
            <w:r w:rsidRPr="00B85575">
              <w:rPr>
                <w:rFonts w:ascii="Garamond" w:hAnsi="Garamond" w:cstheme="minorHAnsi"/>
              </w:rPr>
              <w:t>Transmission</w:t>
            </w:r>
          </w:p>
        </w:tc>
        <w:tc>
          <w:tcPr>
            <w:tcW w:w="6115" w:type="dxa"/>
          </w:tcPr>
          <w:p w14:paraId="64231EB8" w14:textId="3430602E" w:rsidR="00AD4C97" w:rsidRPr="00B85575" w:rsidRDefault="00AD4C97" w:rsidP="00CE3C2B">
            <w:pPr>
              <w:jc w:val="both"/>
              <w:rPr>
                <w:rFonts w:ascii="Garamond" w:hAnsi="Garamond" w:cstheme="minorHAnsi"/>
              </w:rPr>
            </w:pPr>
            <w:r w:rsidRPr="00B85575">
              <w:rPr>
                <w:rStyle w:val="normaltextrun"/>
                <w:rFonts w:ascii="Garamond" w:hAnsi="Garamond"/>
              </w:rPr>
              <w:t>Transfers mechanical power from the electric motor to turn the vehicle’s wheels</w:t>
            </w:r>
          </w:p>
        </w:tc>
      </w:tr>
      <w:tr w:rsidR="00AD4C97" w:rsidRPr="002C738E" w14:paraId="582D8219" w14:textId="77777777" w:rsidTr="00052F8A">
        <w:tc>
          <w:tcPr>
            <w:tcW w:w="1345" w:type="dxa"/>
            <w:vMerge/>
          </w:tcPr>
          <w:p w14:paraId="68B36871" w14:textId="6EFECC9B" w:rsidR="00AD4C97" w:rsidRPr="00B85575" w:rsidRDefault="00AD4C97">
            <w:pPr>
              <w:rPr>
                <w:rFonts w:ascii="Garamond" w:hAnsi="Garamond" w:cstheme="minorHAnsi"/>
              </w:rPr>
            </w:pPr>
          </w:p>
        </w:tc>
        <w:tc>
          <w:tcPr>
            <w:tcW w:w="1890" w:type="dxa"/>
          </w:tcPr>
          <w:p w14:paraId="45BA9E74" w14:textId="3C111F06" w:rsidR="00AD4C97" w:rsidRPr="00B85575" w:rsidRDefault="00AD4C97">
            <w:pPr>
              <w:rPr>
                <w:rFonts w:ascii="Garamond" w:hAnsi="Garamond" w:cstheme="minorHAnsi"/>
              </w:rPr>
            </w:pPr>
            <w:r w:rsidRPr="00B85575">
              <w:rPr>
                <w:rFonts w:ascii="Garamond" w:hAnsi="Garamond" w:cstheme="minorHAnsi"/>
              </w:rPr>
              <w:t>Power Electronics Controller</w:t>
            </w:r>
          </w:p>
        </w:tc>
        <w:tc>
          <w:tcPr>
            <w:tcW w:w="6115" w:type="dxa"/>
          </w:tcPr>
          <w:p w14:paraId="235D9518" w14:textId="3A78FA4F" w:rsidR="00AD4C97" w:rsidRPr="00B85575" w:rsidRDefault="00AD4C97" w:rsidP="00CE3C2B">
            <w:pPr>
              <w:jc w:val="both"/>
              <w:rPr>
                <w:rFonts w:ascii="Garamond" w:hAnsi="Garamond" w:cstheme="minorHAnsi"/>
              </w:rPr>
            </w:pPr>
            <w:r w:rsidRPr="00B85575">
              <w:rPr>
                <w:rFonts w:ascii="Garamond" w:hAnsi="Garamond" w:cstheme="minorHAnsi"/>
              </w:rPr>
              <w:t>Acts as the brain, managing the flow of electricity from the main batteries and controlling the speed and torque produced by the motor</w:t>
            </w:r>
          </w:p>
        </w:tc>
      </w:tr>
      <w:tr w:rsidR="00AD4C97" w:rsidRPr="002C738E" w14:paraId="0CE44A79" w14:textId="77777777" w:rsidTr="00052F8A">
        <w:tc>
          <w:tcPr>
            <w:tcW w:w="1345" w:type="dxa"/>
            <w:vMerge w:val="restart"/>
          </w:tcPr>
          <w:p w14:paraId="64E4E4C1" w14:textId="3FFC371E" w:rsidR="00AD4C97" w:rsidRPr="00B85575" w:rsidRDefault="00AD4C97" w:rsidP="002C738E">
            <w:pPr>
              <w:rPr>
                <w:rFonts w:ascii="Garamond" w:hAnsi="Garamond" w:cstheme="minorHAnsi"/>
              </w:rPr>
            </w:pPr>
            <w:r w:rsidRPr="00B85575">
              <w:rPr>
                <w:rFonts w:ascii="Garamond" w:hAnsi="Garamond" w:cstheme="minorHAnsi"/>
              </w:rPr>
              <w:t>Control</w:t>
            </w:r>
          </w:p>
        </w:tc>
        <w:tc>
          <w:tcPr>
            <w:tcW w:w="1890" w:type="dxa"/>
          </w:tcPr>
          <w:p w14:paraId="3C289AA1" w14:textId="2865356B" w:rsidR="00AD4C97" w:rsidRPr="00B85575" w:rsidRDefault="00AD4C97" w:rsidP="002C738E">
            <w:pPr>
              <w:rPr>
                <w:rFonts w:ascii="Garamond" w:hAnsi="Garamond" w:cstheme="minorHAnsi"/>
              </w:rPr>
            </w:pPr>
            <w:r w:rsidRPr="00B85575">
              <w:rPr>
                <w:rFonts w:ascii="Garamond" w:hAnsi="Garamond" w:cstheme="minorHAnsi"/>
              </w:rPr>
              <w:t>Auxiliary Batteries</w:t>
            </w:r>
          </w:p>
        </w:tc>
        <w:tc>
          <w:tcPr>
            <w:tcW w:w="6115" w:type="dxa"/>
          </w:tcPr>
          <w:p w14:paraId="7CC0D625" w14:textId="4DBEFF5F" w:rsidR="00AD4C97" w:rsidRPr="00B85575" w:rsidRDefault="00AD4C97" w:rsidP="00CE3C2B">
            <w:pPr>
              <w:jc w:val="both"/>
              <w:rPr>
                <w:rFonts w:ascii="Garamond" w:hAnsi="Garamond" w:cstheme="minorHAnsi"/>
              </w:rPr>
            </w:pPr>
            <w:r w:rsidRPr="00B85575">
              <w:rPr>
                <w:rStyle w:val="normaltextrun"/>
                <w:rFonts w:ascii="Garamond" w:hAnsi="Garamond"/>
              </w:rPr>
              <w:t>Some manufacturers will add an additional battery to power electronics systems separately from propulsion</w:t>
            </w:r>
          </w:p>
        </w:tc>
      </w:tr>
      <w:tr w:rsidR="00AD4C97" w:rsidRPr="002C738E" w14:paraId="67450104" w14:textId="77777777" w:rsidTr="00052F8A">
        <w:tc>
          <w:tcPr>
            <w:tcW w:w="1345" w:type="dxa"/>
            <w:vMerge/>
          </w:tcPr>
          <w:p w14:paraId="13581ACC" w14:textId="77777777" w:rsidR="00AD4C97" w:rsidRPr="00B85575" w:rsidRDefault="00AD4C97">
            <w:pPr>
              <w:rPr>
                <w:rFonts w:ascii="Garamond" w:hAnsi="Garamond" w:cstheme="minorHAnsi"/>
              </w:rPr>
            </w:pPr>
          </w:p>
        </w:tc>
        <w:tc>
          <w:tcPr>
            <w:tcW w:w="1890" w:type="dxa"/>
          </w:tcPr>
          <w:p w14:paraId="3608D0B0" w14:textId="73593E15" w:rsidR="00AD4C97" w:rsidRPr="00B85575" w:rsidRDefault="00AD4C97">
            <w:pPr>
              <w:rPr>
                <w:rFonts w:ascii="Garamond" w:hAnsi="Garamond" w:cstheme="minorHAnsi"/>
              </w:rPr>
            </w:pPr>
            <w:r w:rsidRPr="00B85575">
              <w:rPr>
                <w:rFonts w:ascii="Garamond" w:hAnsi="Garamond" w:cstheme="minorHAnsi"/>
              </w:rPr>
              <w:t>Thermal Cooling Systems</w:t>
            </w:r>
          </w:p>
        </w:tc>
        <w:tc>
          <w:tcPr>
            <w:tcW w:w="6115" w:type="dxa"/>
          </w:tcPr>
          <w:p w14:paraId="0B3ABBD8" w14:textId="43489242" w:rsidR="00AD4C97" w:rsidRPr="00B85575" w:rsidRDefault="00AD4C97" w:rsidP="00CE3C2B">
            <w:pPr>
              <w:jc w:val="both"/>
              <w:rPr>
                <w:rStyle w:val="normaltextrun"/>
                <w:rFonts w:ascii="Garamond" w:hAnsi="Garamond"/>
              </w:rPr>
            </w:pPr>
            <w:r w:rsidRPr="00B85575">
              <w:rPr>
                <w:rStyle w:val="normaltextrun"/>
                <w:rFonts w:ascii="Garamond" w:hAnsi="Garamond"/>
              </w:rPr>
              <w:t>Maintains a proper operating temperature of motor, batteries, and other electrical components</w:t>
            </w:r>
          </w:p>
        </w:tc>
      </w:tr>
      <w:tr w:rsidR="00AD4C97" w:rsidRPr="002C738E" w14:paraId="1A0DA026" w14:textId="77777777" w:rsidTr="00052F8A">
        <w:tc>
          <w:tcPr>
            <w:tcW w:w="1345" w:type="dxa"/>
            <w:vMerge/>
          </w:tcPr>
          <w:p w14:paraId="5BEE3B0A" w14:textId="77777777" w:rsidR="00AD4C97" w:rsidRPr="00B85575" w:rsidRDefault="00AD4C97">
            <w:pPr>
              <w:rPr>
                <w:rFonts w:ascii="Garamond" w:hAnsi="Garamond" w:cstheme="minorHAnsi"/>
              </w:rPr>
            </w:pPr>
          </w:p>
        </w:tc>
        <w:tc>
          <w:tcPr>
            <w:tcW w:w="1890" w:type="dxa"/>
          </w:tcPr>
          <w:p w14:paraId="5D5BCA58" w14:textId="07D68DE6" w:rsidR="00AD4C97" w:rsidRPr="00B85575" w:rsidRDefault="00AD4C97">
            <w:pPr>
              <w:rPr>
                <w:rFonts w:ascii="Garamond" w:hAnsi="Garamond" w:cstheme="minorHAnsi"/>
              </w:rPr>
            </w:pPr>
            <w:r w:rsidRPr="00B85575">
              <w:rPr>
                <w:rFonts w:ascii="Garamond" w:hAnsi="Garamond" w:cstheme="minorHAnsi"/>
              </w:rPr>
              <w:t>Heating Systems</w:t>
            </w:r>
          </w:p>
        </w:tc>
        <w:tc>
          <w:tcPr>
            <w:tcW w:w="6115" w:type="dxa"/>
          </w:tcPr>
          <w:p w14:paraId="256E7866" w14:textId="2622270B" w:rsidR="00AD4C97" w:rsidRPr="00B85575" w:rsidRDefault="00AD4C97" w:rsidP="00CE3C2B">
            <w:pPr>
              <w:jc w:val="both"/>
              <w:rPr>
                <w:rStyle w:val="normaltextrun"/>
                <w:rFonts w:ascii="Garamond" w:hAnsi="Garamond"/>
              </w:rPr>
            </w:pPr>
            <w:r w:rsidRPr="00B85575">
              <w:rPr>
                <w:rStyle w:val="normaltextrun"/>
                <w:rFonts w:ascii="Garamond" w:hAnsi="Garamond"/>
              </w:rPr>
              <w:t>Optional for vehicles depending upon type of vehicle or location of deployment, this component may use traction energy, fuel-fired heaters, or heat pump technologies to provide warmth for passengers in vehicle cabins</w:t>
            </w:r>
          </w:p>
        </w:tc>
      </w:tr>
      <w:tr w:rsidR="00AD4C97" w:rsidRPr="002C738E" w14:paraId="2EB31F14" w14:textId="77777777" w:rsidTr="00052F8A">
        <w:tc>
          <w:tcPr>
            <w:tcW w:w="1345" w:type="dxa"/>
            <w:vMerge/>
          </w:tcPr>
          <w:p w14:paraId="2914082D" w14:textId="3A5E2971" w:rsidR="00AD4C97" w:rsidRPr="00B85575" w:rsidRDefault="00AD4C97">
            <w:pPr>
              <w:rPr>
                <w:rFonts w:ascii="Garamond" w:hAnsi="Garamond" w:cstheme="minorHAnsi"/>
              </w:rPr>
            </w:pPr>
          </w:p>
        </w:tc>
        <w:tc>
          <w:tcPr>
            <w:tcW w:w="1890" w:type="dxa"/>
          </w:tcPr>
          <w:p w14:paraId="008A7E78" w14:textId="25CEA705" w:rsidR="00AD4C97" w:rsidRPr="00B85575" w:rsidRDefault="00AD4C97">
            <w:pPr>
              <w:rPr>
                <w:rFonts w:ascii="Garamond" w:hAnsi="Garamond" w:cstheme="minorHAnsi"/>
              </w:rPr>
            </w:pPr>
            <w:r w:rsidRPr="00B85575">
              <w:rPr>
                <w:rFonts w:ascii="Garamond" w:hAnsi="Garamond" w:cstheme="minorHAnsi"/>
              </w:rPr>
              <w:t>DC Converter</w:t>
            </w:r>
          </w:p>
        </w:tc>
        <w:tc>
          <w:tcPr>
            <w:tcW w:w="6115" w:type="dxa"/>
          </w:tcPr>
          <w:p w14:paraId="5C226615" w14:textId="03EA4449" w:rsidR="00AD4C97" w:rsidRPr="00B85575" w:rsidRDefault="00AD4C97" w:rsidP="00CE3C2B">
            <w:pPr>
              <w:jc w:val="both"/>
              <w:rPr>
                <w:rStyle w:val="normaltextrun"/>
                <w:rFonts w:ascii="Garamond" w:hAnsi="Garamond"/>
              </w:rPr>
            </w:pPr>
            <w:r w:rsidRPr="00B85575">
              <w:rPr>
                <w:rStyle w:val="normaltextrun"/>
                <w:rFonts w:ascii="Garamond" w:hAnsi="Garamond"/>
              </w:rPr>
              <w:t>Converts high-voltage DC power from main battery to lower-voltage DC power to run vehicle accessories and recharge auxiliary battery</w:t>
            </w:r>
          </w:p>
        </w:tc>
      </w:tr>
      <w:tr w:rsidR="00AD4C97" w:rsidRPr="002C738E" w14:paraId="53298E37" w14:textId="77777777" w:rsidTr="00052F8A">
        <w:tc>
          <w:tcPr>
            <w:tcW w:w="1345" w:type="dxa"/>
            <w:vMerge/>
          </w:tcPr>
          <w:p w14:paraId="512EC63E" w14:textId="34EFA229" w:rsidR="00AD4C97" w:rsidRPr="00B85575" w:rsidRDefault="00AD4C97">
            <w:pPr>
              <w:rPr>
                <w:rFonts w:ascii="Garamond" w:hAnsi="Garamond" w:cstheme="minorHAnsi"/>
              </w:rPr>
            </w:pPr>
          </w:p>
        </w:tc>
        <w:tc>
          <w:tcPr>
            <w:tcW w:w="1890" w:type="dxa"/>
          </w:tcPr>
          <w:p w14:paraId="0A7824A6" w14:textId="00AAB1DE" w:rsidR="00AD4C97" w:rsidRPr="00B85575" w:rsidRDefault="00AD4C97">
            <w:pPr>
              <w:rPr>
                <w:rFonts w:ascii="Garamond" w:hAnsi="Garamond" w:cstheme="minorHAnsi"/>
              </w:rPr>
            </w:pPr>
            <w:r w:rsidRPr="00B85575">
              <w:rPr>
                <w:rFonts w:ascii="Garamond" w:hAnsi="Garamond" w:cstheme="minorHAnsi"/>
              </w:rPr>
              <w:t>Vehicle Controls</w:t>
            </w:r>
          </w:p>
        </w:tc>
        <w:tc>
          <w:tcPr>
            <w:tcW w:w="6115" w:type="dxa"/>
          </w:tcPr>
          <w:p w14:paraId="3E22ABE7" w14:textId="583EEA2D" w:rsidR="00AD4C97" w:rsidRPr="00B85575" w:rsidRDefault="00AD4C97" w:rsidP="00CE3C2B">
            <w:pPr>
              <w:jc w:val="both"/>
              <w:rPr>
                <w:rStyle w:val="normaltextrun"/>
                <w:rFonts w:ascii="Garamond" w:hAnsi="Garamond"/>
              </w:rPr>
            </w:pPr>
            <w:r w:rsidRPr="00B85575">
              <w:rPr>
                <w:rStyle w:val="normaltextrun"/>
                <w:rFonts w:ascii="Garamond" w:hAnsi="Garamond"/>
              </w:rPr>
              <w:t>Category that includes electronics that manage vehicle operations, such as onboard computers, steering systems, and basics like window and wiper movement</w:t>
            </w:r>
          </w:p>
        </w:tc>
      </w:tr>
      <w:tr w:rsidR="00AD4C97" w:rsidRPr="002C738E" w14:paraId="31396D80" w14:textId="77777777" w:rsidTr="00052F8A">
        <w:tc>
          <w:tcPr>
            <w:tcW w:w="1345" w:type="dxa"/>
            <w:vMerge w:val="restart"/>
          </w:tcPr>
          <w:p w14:paraId="18E7B3B2" w14:textId="1564CA76" w:rsidR="00AD4C97" w:rsidRPr="00B85575" w:rsidRDefault="00AD4C97" w:rsidP="002C738E">
            <w:pPr>
              <w:rPr>
                <w:rFonts w:ascii="Garamond" w:hAnsi="Garamond" w:cstheme="minorHAnsi"/>
              </w:rPr>
            </w:pPr>
            <w:r w:rsidRPr="00B85575">
              <w:rPr>
                <w:rFonts w:ascii="Garamond" w:hAnsi="Garamond" w:cstheme="minorHAnsi"/>
              </w:rPr>
              <w:t>Charging</w:t>
            </w:r>
          </w:p>
        </w:tc>
        <w:tc>
          <w:tcPr>
            <w:tcW w:w="1890" w:type="dxa"/>
          </w:tcPr>
          <w:p w14:paraId="0BE5845E" w14:textId="56B7D0EE" w:rsidR="00AD4C97" w:rsidRPr="00B85575" w:rsidRDefault="00AD4C97" w:rsidP="002C738E">
            <w:pPr>
              <w:rPr>
                <w:rFonts w:ascii="Garamond" w:hAnsi="Garamond" w:cstheme="minorHAnsi"/>
              </w:rPr>
            </w:pPr>
            <w:r w:rsidRPr="00B85575">
              <w:rPr>
                <w:rFonts w:ascii="Garamond" w:hAnsi="Garamond" w:cstheme="minorHAnsi"/>
              </w:rPr>
              <w:t>Charge Port</w:t>
            </w:r>
          </w:p>
        </w:tc>
        <w:tc>
          <w:tcPr>
            <w:tcW w:w="6115" w:type="dxa"/>
          </w:tcPr>
          <w:p w14:paraId="7F13AF4F" w14:textId="64D71FE9" w:rsidR="00AD4C97" w:rsidRPr="00B85575" w:rsidRDefault="00AD4C97" w:rsidP="00CE3C2B">
            <w:pPr>
              <w:jc w:val="both"/>
              <w:rPr>
                <w:rStyle w:val="normaltextrun"/>
                <w:rFonts w:ascii="Garamond" w:hAnsi="Garamond"/>
              </w:rPr>
            </w:pPr>
            <w:r w:rsidRPr="00B85575">
              <w:rPr>
                <w:rStyle w:val="normaltextrun"/>
                <w:rFonts w:ascii="Garamond" w:hAnsi="Garamond"/>
              </w:rPr>
              <w:t>Allows the vehicle to physically connect to a wired external power source and power the main battery</w:t>
            </w:r>
          </w:p>
        </w:tc>
      </w:tr>
      <w:tr w:rsidR="00AD4C97" w:rsidRPr="002C738E" w14:paraId="105D8112" w14:textId="77777777" w:rsidTr="00052F8A">
        <w:tc>
          <w:tcPr>
            <w:tcW w:w="1345" w:type="dxa"/>
            <w:vMerge/>
          </w:tcPr>
          <w:p w14:paraId="03A47E36" w14:textId="77777777" w:rsidR="00AD4C97" w:rsidRPr="00B85575" w:rsidRDefault="00AD4C97">
            <w:pPr>
              <w:rPr>
                <w:rFonts w:ascii="Garamond" w:hAnsi="Garamond" w:cstheme="minorHAnsi"/>
              </w:rPr>
            </w:pPr>
          </w:p>
        </w:tc>
        <w:tc>
          <w:tcPr>
            <w:tcW w:w="1890" w:type="dxa"/>
          </w:tcPr>
          <w:p w14:paraId="588A7F09" w14:textId="2BF02B9A" w:rsidR="00AD4C97" w:rsidRPr="00B85575" w:rsidRDefault="00AD4C97">
            <w:pPr>
              <w:rPr>
                <w:rFonts w:ascii="Garamond" w:hAnsi="Garamond" w:cstheme="minorHAnsi"/>
              </w:rPr>
            </w:pPr>
            <w:r w:rsidRPr="00B85575">
              <w:rPr>
                <w:rFonts w:ascii="Garamond" w:hAnsi="Garamond" w:cstheme="minorHAnsi"/>
              </w:rPr>
              <w:t>Receiving Plate</w:t>
            </w:r>
          </w:p>
        </w:tc>
        <w:tc>
          <w:tcPr>
            <w:tcW w:w="6115" w:type="dxa"/>
          </w:tcPr>
          <w:p w14:paraId="5438568F" w14:textId="37C57362" w:rsidR="00AD4C97" w:rsidRPr="00B85575" w:rsidRDefault="00AD4C97" w:rsidP="00CE3C2B">
            <w:pPr>
              <w:jc w:val="both"/>
              <w:rPr>
                <w:rStyle w:val="normaltextrun"/>
                <w:rFonts w:ascii="Garamond" w:hAnsi="Garamond"/>
              </w:rPr>
            </w:pPr>
            <w:r w:rsidRPr="00B85575">
              <w:rPr>
                <w:rStyle w:val="normaltextrun"/>
                <w:rFonts w:ascii="Garamond" w:hAnsi="Garamond"/>
              </w:rPr>
              <w:t>Allows the vehicle to connect with a wireless overhead or inductive charging system (</w:t>
            </w:r>
            <w:r w:rsidRPr="00B85575">
              <w:rPr>
                <w:rStyle w:val="normaltextrun"/>
                <w:rFonts w:ascii="Garamond" w:hAnsi="Garamond"/>
                <w:i/>
                <w:iCs/>
              </w:rPr>
              <w:t>may not apply to all vehicles</w:t>
            </w:r>
            <w:r w:rsidRPr="00B85575">
              <w:rPr>
                <w:rStyle w:val="normaltextrun"/>
                <w:rFonts w:ascii="Garamond" w:hAnsi="Garamond"/>
              </w:rPr>
              <w:t>)</w:t>
            </w:r>
          </w:p>
        </w:tc>
      </w:tr>
      <w:tr w:rsidR="00AD4C97" w:rsidRPr="002C738E" w14:paraId="47CA0B4B" w14:textId="77777777" w:rsidTr="00052F8A">
        <w:tc>
          <w:tcPr>
            <w:tcW w:w="1345" w:type="dxa"/>
            <w:vMerge/>
          </w:tcPr>
          <w:p w14:paraId="08F40C0B" w14:textId="7A6AA31E" w:rsidR="00AD4C97" w:rsidRPr="00B85575" w:rsidRDefault="00AD4C97">
            <w:pPr>
              <w:rPr>
                <w:rFonts w:ascii="Garamond" w:hAnsi="Garamond" w:cstheme="minorHAnsi"/>
              </w:rPr>
            </w:pPr>
          </w:p>
        </w:tc>
        <w:tc>
          <w:tcPr>
            <w:tcW w:w="1890" w:type="dxa"/>
          </w:tcPr>
          <w:p w14:paraId="157EAAE9" w14:textId="2CE85889" w:rsidR="00AD4C97" w:rsidRPr="00B85575" w:rsidRDefault="00AD4C97">
            <w:pPr>
              <w:rPr>
                <w:rFonts w:ascii="Garamond" w:hAnsi="Garamond" w:cstheme="minorHAnsi"/>
              </w:rPr>
            </w:pPr>
            <w:r w:rsidRPr="00B85575">
              <w:rPr>
                <w:rFonts w:ascii="Garamond" w:hAnsi="Garamond" w:cstheme="minorHAnsi"/>
              </w:rPr>
              <w:t>Onboard Charger</w:t>
            </w:r>
          </w:p>
        </w:tc>
        <w:tc>
          <w:tcPr>
            <w:tcW w:w="6115" w:type="dxa"/>
          </w:tcPr>
          <w:p w14:paraId="376F66DD" w14:textId="689942C1" w:rsidR="00AD4C97" w:rsidRPr="00B85575" w:rsidRDefault="00AD4C97" w:rsidP="00CE3C2B">
            <w:pPr>
              <w:jc w:val="both"/>
              <w:rPr>
                <w:rStyle w:val="normaltextrun"/>
                <w:rFonts w:ascii="Garamond" w:hAnsi="Garamond"/>
              </w:rPr>
            </w:pPr>
            <w:r w:rsidRPr="00B85575">
              <w:rPr>
                <w:rStyle w:val="normaltextrun"/>
                <w:rFonts w:ascii="Garamond" w:hAnsi="Garamond"/>
              </w:rPr>
              <w:t>Converts an AC charge to DC for charging the main battery while monitoring the temperature and state of charge (</w:t>
            </w:r>
            <w:r w:rsidRPr="00B85575">
              <w:rPr>
                <w:rStyle w:val="normaltextrun"/>
                <w:rFonts w:ascii="Garamond" w:hAnsi="Garamond"/>
                <w:i/>
                <w:iCs/>
              </w:rPr>
              <w:t>may not apply to all vehicles</w:t>
            </w:r>
            <w:r w:rsidRPr="00B85575">
              <w:rPr>
                <w:rStyle w:val="normaltextrun"/>
                <w:rFonts w:ascii="Garamond" w:hAnsi="Garamond"/>
              </w:rPr>
              <w:t>)</w:t>
            </w:r>
          </w:p>
        </w:tc>
      </w:tr>
      <w:tr w:rsidR="00AD4C97" w:rsidRPr="002C738E" w14:paraId="769E49C7" w14:textId="77777777" w:rsidTr="00052F8A">
        <w:tc>
          <w:tcPr>
            <w:tcW w:w="1345" w:type="dxa"/>
            <w:vMerge w:val="restart"/>
          </w:tcPr>
          <w:p w14:paraId="4DED5AA2" w14:textId="5AA2CEC9" w:rsidR="00AD4C97" w:rsidRPr="00B85575" w:rsidRDefault="00AD4C97" w:rsidP="002C738E">
            <w:pPr>
              <w:rPr>
                <w:rFonts w:ascii="Garamond" w:hAnsi="Garamond" w:cstheme="minorHAnsi"/>
              </w:rPr>
            </w:pPr>
            <w:r w:rsidRPr="00B85575">
              <w:rPr>
                <w:rFonts w:ascii="Garamond" w:hAnsi="Garamond" w:cstheme="minorHAnsi"/>
              </w:rPr>
              <w:t>Hydrogen</w:t>
            </w:r>
          </w:p>
        </w:tc>
        <w:tc>
          <w:tcPr>
            <w:tcW w:w="1890" w:type="dxa"/>
          </w:tcPr>
          <w:p w14:paraId="25BACB33" w14:textId="5475D953" w:rsidR="00AD4C97" w:rsidRPr="00B85575" w:rsidRDefault="00AD4C97" w:rsidP="002C738E">
            <w:pPr>
              <w:rPr>
                <w:rFonts w:ascii="Garamond" w:hAnsi="Garamond" w:cstheme="minorHAnsi"/>
              </w:rPr>
            </w:pPr>
            <w:r w:rsidRPr="00B85575">
              <w:rPr>
                <w:rFonts w:ascii="Garamond" w:hAnsi="Garamond" w:cstheme="minorHAnsi"/>
              </w:rPr>
              <w:t>Fuel Cell Stack</w:t>
            </w:r>
          </w:p>
        </w:tc>
        <w:tc>
          <w:tcPr>
            <w:tcW w:w="6115" w:type="dxa"/>
          </w:tcPr>
          <w:p w14:paraId="0A122EE9" w14:textId="48005EF8" w:rsidR="00AD4C97" w:rsidRPr="00B85575" w:rsidRDefault="00AD4C97" w:rsidP="00CE3C2B">
            <w:pPr>
              <w:jc w:val="both"/>
              <w:rPr>
                <w:rStyle w:val="normaltextrun"/>
                <w:rFonts w:ascii="Garamond" w:hAnsi="Garamond"/>
              </w:rPr>
            </w:pPr>
            <w:r w:rsidRPr="00B85575">
              <w:rPr>
                <w:rStyle w:val="normaltextrun"/>
                <w:rFonts w:ascii="Garamond" w:hAnsi="Garamond"/>
              </w:rPr>
              <w:t>An assembly of membranes that converts stored hydrogen to electricity to power the electric motor</w:t>
            </w:r>
          </w:p>
        </w:tc>
      </w:tr>
      <w:tr w:rsidR="00AD4C97" w:rsidRPr="002C738E" w14:paraId="34A81216" w14:textId="77777777" w:rsidTr="00052F8A">
        <w:tc>
          <w:tcPr>
            <w:tcW w:w="1345" w:type="dxa"/>
            <w:vMerge/>
          </w:tcPr>
          <w:p w14:paraId="5DE89499" w14:textId="77777777" w:rsidR="00AD4C97" w:rsidRPr="00B85575" w:rsidRDefault="00AD4C97">
            <w:pPr>
              <w:rPr>
                <w:rFonts w:ascii="Garamond" w:hAnsi="Garamond" w:cstheme="minorHAnsi"/>
              </w:rPr>
            </w:pPr>
          </w:p>
        </w:tc>
        <w:tc>
          <w:tcPr>
            <w:tcW w:w="1890" w:type="dxa"/>
          </w:tcPr>
          <w:p w14:paraId="3E999829" w14:textId="0872687F" w:rsidR="00AD4C97" w:rsidRPr="00B85575" w:rsidRDefault="00AD4C97">
            <w:pPr>
              <w:rPr>
                <w:rFonts w:ascii="Garamond" w:hAnsi="Garamond" w:cstheme="minorHAnsi"/>
              </w:rPr>
            </w:pPr>
            <w:r w:rsidRPr="00B85575">
              <w:rPr>
                <w:rFonts w:ascii="Garamond" w:hAnsi="Garamond" w:cstheme="minorHAnsi"/>
              </w:rPr>
              <w:t>H</w:t>
            </w:r>
            <w:r w:rsidRPr="00B85575">
              <w:rPr>
                <w:rFonts w:ascii="Garamond" w:hAnsi="Garamond" w:cstheme="minorHAnsi"/>
                <w:vertAlign w:val="subscript"/>
              </w:rPr>
              <w:t>2</w:t>
            </w:r>
            <w:r w:rsidRPr="00B85575">
              <w:rPr>
                <w:rFonts w:ascii="Garamond" w:hAnsi="Garamond" w:cstheme="minorHAnsi"/>
              </w:rPr>
              <w:t xml:space="preserve"> Filler and Tank</w:t>
            </w:r>
          </w:p>
        </w:tc>
        <w:tc>
          <w:tcPr>
            <w:tcW w:w="6115" w:type="dxa"/>
          </w:tcPr>
          <w:p w14:paraId="256F29EC" w14:textId="3499D6A1" w:rsidR="00AD4C97" w:rsidRPr="00B85575" w:rsidRDefault="00AD4C97" w:rsidP="00CE3C2B">
            <w:pPr>
              <w:jc w:val="both"/>
              <w:rPr>
                <w:rStyle w:val="normaltextrun"/>
                <w:rFonts w:ascii="Garamond" w:hAnsi="Garamond"/>
              </w:rPr>
            </w:pPr>
            <w:r w:rsidRPr="00B85575">
              <w:rPr>
                <w:rStyle w:val="normaltextrun"/>
                <w:rFonts w:ascii="Garamond" w:hAnsi="Garamond"/>
              </w:rPr>
              <w:t>Enables a vehicle to accept and hold hydrogen fuel to power the hydrogen fuel cell stack</w:t>
            </w:r>
          </w:p>
        </w:tc>
      </w:tr>
      <w:tr w:rsidR="00AD4C97" w14:paraId="5479513B" w14:textId="77777777" w:rsidTr="00052F8A">
        <w:tc>
          <w:tcPr>
            <w:tcW w:w="1345" w:type="dxa"/>
            <w:vMerge/>
          </w:tcPr>
          <w:p w14:paraId="44FD000D" w14:textId="77777777" w:rsidR="00AD4C97" w:rsidRPr="00B85575" w:rsidRDefault="00AD4C97">
            <w:pPr>
              <w:rPr>
                <w:rFonts w:ascii="Garamond" w:hAnsi="Garamond" w:cstheme="minorHAnsi"/>
              </w:rPr>
            </w:pPr>
          </w:p>
        </w:tc>
        <w:tc>
          <w:tcPr>
            <w:tcW w:w="1890" w:type="dxa"/>
          </w:tcPr>
          <w:p w14:paraId="38F7C632" w14:textId="20CA698D" w:rsidR="00AD4C97" w:rsidRPr="00B85575" w:rsidRDefault="00AD4C97">
            <w:pPr>
              <w:rPr>
                <w:rFonts w:ascii="Garamond" w:hAnsi="Garamond" w:cstheme="minorHAnsi"/>
              </w:rPr>
            </w:pPr>
            <w:r w:rsidRPr="00B85575">
              <w:rPr>
                <w:rFonts w:ascii="Garamond" w:hAnsi="Garamond" w:cstheme="minorHAnsi"/>
              </w:rPr>
              <w:t>Balance of Plant</w:t>
            </w:r>
          </w:p>
        </w:tc>
        <w:tc>
          <w:tcPr>
            <w:tcW w:w="6115" w:type="dxa"/>
          </w:tcPr>
          <w:p w14:paraId="147B2CFB" w14:textId="793E59CF" w:rsidR="00AD4C97" w:rsidRPr="00052F8A" w:rsidRDefault="00AD4C97" w:rsidP="00CE3C2B">
            <w:pPr>
              <w:jc w:val="both"/>
              <w:rPr>
                <w:rStyle w:val="normaltextrun"/>
                <w:rFonts w:ascii="Garamond" w:hAnsi="Garamond"/>
              </w:rPr>
            </w:pPr>
            <w:r w:rsidRPr="00B85575">
              <w:rPr>
                <w:rStyle w:val="normaltextrun"/>
                <w:rFonts w:ascii="Garamond" w:hAnsi="Garamond"/>
              </w:rPr>
              <w:t>Draws in and compresses air to optimize fuel mix with hydrogen</w:t>
            </w:r>
          </w:p>
        </w:tc>
      </w:tr>
    </w:tbl>
    <w:p w14:paraId="15A2BDBA" w14:textId="77777777" w:rsidR="00AD4C97" w:rsidRDefault="00AD4C97" w:rsidP="004F13DC">
      <w:pPr>
        <w:rPr>
          <w:rFonts w:cstheme="minorHAnsi"/>
        </w:rPr>
      </w:pPr>
    </w:p>
    <w:p w14:paraId="7EC98F83" w14:textId="17AC8525" w:rsidR="00AD4C97" w:rsidRPr="00D14046" w:rsidRDefault="009F3245" w:rsidP="00CE3C2B">
      <w:pPr>
        <w:jc w:val="both"/>
        <w:rPr>
          <w:rFonts w:ascii="Garamond" w:hAnsi="Garamond" w:cstheme="minorHAnsi"/>
        </w:rPr>
      </w:pPr>
      <w:r w:rsidRPr="009F3245">
        <w:rPr>
          <w:rFonts w:ascii="Garamond" w:hAnsi="Garamond" w:cstheme="minorHAnsi"/>
        </w:rPr>
        <w:t xml:space="preserve">Across the full ZECV market, vehicle applications can be divided into “open” system deployments, in which vehicles operate along open routes, and </w:t>
      </w:r>
      <w:r w:rsidR="006D5BBB">
        <w:rPr>
          <w:rFonts w:ascii="Garamond" w:hAnsi="Garamond" w:cstheme="minorHAnsi"/>
        </w:rPr>
        <w:t xml:space="preserve">closed or </w:t>
      </w:r>
      <w:r w:rsidRPr="009F3245">
        <w:rPr>
          <w:rFonts w:ascii="Garamond" w:hAnsi="Garamond" w:cstheme="minorHAnsi"/>
        </w:rPr>
        <w:t xml:space="preserve">“controlled” systems, in which vehicles operate </w:t>
      </w:r>
      <w:r w:rsidR="004C7200">
        <w:rPr>
          <w:rFonts w:ascii="Garamond" w:hAnsi="Garamond" w:cstheme="minorHAnsi"/>
        </w:rPr>
        <w:t xml:space="preserve">within a facility, typically in </w:t>
      </w:r>
      <w:r w:rsidRPr="009F3245">
        <w:rPr>
          <w:rFonts w:ascii="Garamond" w:hAnsi="Garamond" w:cstheme="minorHAnsi"/>
        </w:rPr>
        <w:t>off-road applications.</w:t>
      </w:r>
      <w:r>
        <w:rPr>
          <w:rFonts w:ascii="Garamond" w:hAnsi="Garamond" w:cstheme="minorHAnsi"/>
        </w:rPr>
        <w:t xml:space="preserve"> </w:t>
      </w:r>
      <w:r w:rsidR="00AD4C97" w:rsidRPr="00D14046">
        <w:rPr>
          <w:rFonts w:ascii="Garamond" w:hAnsi="Garamond" w:cstheme="minorHAnsi"/>
        </w:rPr>
        <w:t xml:space="preserve">Following the beachhead model, technologies and operating strategies that have successfully been used in transit bus and forklift deployments will be applied to ZECV innovations in </w:t>
      </w:r>
      <w:r w:rsidR="00347682">
        <w:rPr>
          <w:rFonts w:ascii="Garamond" w:hAnsi="Garamond" w:cstheme="minorHAnsi"/>
        </w:rPr>
        <w:t xml:space="preserve">subsequent </w:t>
      </w:r>
      <w:r w:rsidR="00AD4C97" w:rsidRPr="00D14046">
        <w:rPr>
          <w:rFonts w:ascii="Garamond" w:hAnsi="Garamond" w:cstheme="minorHAnsi"/>
        </w:rPr>
        <w:t>open and controlled systems</w:t>
      </w:r>
      <w:r w:rsidR="00DC5FEF">
        <w:rPr>
          <w:rFonts w:ascii="Garamond" w:hAnsi="Garamond" w:cstheme="minorHAnsi"/>
        </w:rPr>
        <w:t>.</w:t>
      </w:r>
    </w:p>
    <w:p w14:paraId="15938163" w14:textId="77777777" w:rsidR="00AD4C97" w:rsidRPr="00D14046" w:rsidRDefault="00AD4C97" w:rsidP="004F13DC">
      <w:pPr>
        <w:rPr>
          <w:rFonts w:ascii="Garamond" w:hAnsi="Garamond"/>
        </w:rPr>
      </w:pPr>
    </w:p>
    <w:p w14:paraId="56D782EA" w14:textId="56FE74C3" w:rsidR="00AD4C97" w:rsidRPr="00D14046" w:rsidRDefault="00AD4C97" w:rsidP="00ED09BF">
      <w:pPr>
        <w:pStyle w:val="Heading3"/>
      </w:pPr>
      <w:bookmarkStart w:id="26" w:name="_Toc53065365"/>
      <w:r w:rsidRPr="00D14046">
        <w:lastRenderedPageBreak/>
        <w:t>On-Road / Open System Innovations</w:t>
      </w:r>
      <w:bookmarkEnd w:id="26"/>
    </w:p>
    <w:p w14:paraId="24C61D95" w14:textId="7E0769CF" w:rsidR="00AD4C97" w:rsidRPr="00D14046" w:rsidRDefault="00AD4C97" w:rsidP="00CE3C2B">
      <w:pPr>
        <w:jc w:val="both"/>
        <w:rPr>
          <w:rFonts w:ascii="Garamond" w:hAnsi="Garamond"/>
        </w:rPr>
      </w:pPr>
      <w:r w:rsidRPr="00D14046">
        <w:rPr>
          <w:rFonts w:ascii="Garamond" w:hAnsi="Garamond"/>
        </w:rPr>
        <w:t>Transit bus</w:t>
      </w:r>
      <w:r w:rsidR="001E5B9F">
        <w:rPr>
          <w:rFonts w:ascii="Garamond" w:hAnsi="Garamond"/>
        </w:rPr>
        <w:t>es</w:t>
      </w:r>
      <w:r w:rsidRPr="00D14046">
        <w:rPr>
          <w:rFonts w:ascii="Garamond" w:hAnsi="Garamond"/>
        </w:rPr>
        <w:t xml:space="preserve"> remain an important first success zero-emission technology application in cities and regions around the world. The city of Shenzhen, China has famously converted its entire 16,000-vehicle transit bus fleet to all-electric by 2018. Zero-emission transit buses have also made early inroads in other regions, from an order of 200 in Santiago, Chile to early adopters in Los Angeles and Seattle that have now committed to completely electrifying their transit fleets by 2025. The zero-emission transit bus represents a proven, scalable application with a global stock estimated at greater than </w:t>
      </w:r>
      <w:r w:rsidR="00BE1AE5">
        <w:rPr>
          <w:rFonts w:ascii="Garamond" w:hAnsi="Garamond"/>
        </w:rPr>
        <w:t>5</w:t>
      </w:r>
      <w:r w:rsidRPr="00D14046">
        <w:rPr>
          <w:rFonts w:ascii="Garamond" w:hAnsi="Garamond"/>
        </w:rPr>
        <w:t>00,000 vehicles that is helping to prove ZECV technology</w:t>
      </w:r>
      <w:r w:rsidR="00987141">
        <w:rPr>
          <w:rFonts w:ascii="Garamond" w:hAnsi="Garamond"/>
        </w:rPr>
        <w:t xml:space="preserve"> </w:t>
      </w:r>
      <w:r w:rsidR="000C6E6B">
        <w:rPr>
          <w:rFonts w:ascii="Garamond" w:hAnsi="Garamond"/>
        </w:rPr>
        <w:t xml:space="preserve">(IEA, 2020) </w:t>
      </w:r>
      <w:r w:rsidRPr="00D14046">
        <w:rPr>
          <w:rFonts w:ascii="Garamond" w:hAnsi="Garamond"/>
        </w:rPr>
        <w:t xml:space="preserve"> In fact, the market for zero-emission transit buses is already sufficiently developed that California enacted the Innovative Clean Transit Regulation in 2018, requiring public transit fleets to procure progressively greater numbers of zero-emission buses until all new bus purchases are zero-emission from 2029.</w:t>
      </w:r>
    </w:p>
    <w:p w14:paraId="5F69970C" w14:textId="77777777" w:rsidR="00AD4C97" w:rsidRPr="00D14046" w:rsidRDefault="00AD4C97" w:rsidP="00CE3C2B">
      <w:pPr>
        <w:jc w:val="both"/>
        <w:rPr>
          <w:rFonts w:ascii="Garamond" w:hAnsi="Garamond"/>
        </w:rPr>
      </w:pPr>
    </w:p>
    <w:p w14:paraId="70D490DB" w14:textId="62DC6D7C" w:rsidR="00AD4C97" w:rsidRPr="00D14046" w:rsidRDefault="00AD4C97" w:rsidP="00CE3C2B">
      <w:pPr>
        <w:jc w:val="both"/>
        <w:rPr>
          <w:rFonts w:ascii="Garamond" w:hAnsi="Garamond"/>
        </w:rPr>
      </w:pPr>
      <w:r w:rsidRPr="00D14046">
        <w:rPr>
          <w:rFonts w:ascii="Garamond" w:hAnsi="Garamond"/>
        </w:rPr>
        <w:t>Several vehicle manufacturers are already demonstrating the pivot from zero-emission transit buses to innovations for other ZECV applications. BYD has offered several iterations of medium- and heavy-duty zero emission trucks (including yard trucks) for years</w:t>
      </w:r>
      <w:r w:rsidR="00CA7381">
        <w:rPr>
          <w:rFonts w:ascii="Garamond" w:hAnsi="Garamond"/>
        </w:rPr>
        <w:t xml:space="preserve"> (BYD, 2020).</w:t>
      </w:r>
      <w:r w:rsidRPr="00D14046">
        <w:rPr>
          <w:rFonts w:ascii="Garamond" w:hAnsi="Garamond"/>
        </w:rPr>
        <w:t xml:space="preserve"> This shift to take components from its transit bus operations to develop </w:t>
      </w:r>
      <w:r>
        <w:rPr>
          <w:rFonts w:ascii="Garamond" w:hAnsi="Garamond"/>
        </w:rPr>
        <w:t xml:space="preserve">other </w:t>
      </w:r>
      <w:r w:rsidRPr="00D14046">
        <w:rPr>
          <w:rFonts w:ascii="Garamond" w:hAnsi="Garamond"/>
        </w:rPr>
        <w:t>ZECVs, including off-road applications, was part of the company’s business plan dating back to 2013</w:t>
      </w:r>
      <w:r w:rsidR="00CA7381">
        <w:rPr>
          <w:rFonts w:ascii="Garamond" w:hAnsi="Garamond"/>
        </w:rPr>
        <w:t xml:space="preserve"> (BYD, 2020a).</w:t>
      </w:r>
      <w:r w:rsidRPr="00D14046">
        <w:rPr>
          <w:rFonts w:ascii="Garamond" w:hAnsi="Garamond"/>
        </w:rPr>
        <w:t xml:space="preserve"> Proterra recently announced the development of partnerships with Daimler Trucks and Thomas Built Buses that will install its electric drivetrains in zero-emission trucks, buses, and other applications</w:t>
      </w:r>
      <w:r w:rsidR="00A11D39">
        <w:rPr>
          <w:rFonts w:ascii="Garamond" w:hAnsi="Garamond"/>
        </w:rPr>
        <w:t xml:space="preserve"> (Forbes, 2019).</w:t>
      </w:r>
      <w:r w:rsidRPr="00D14046">
        <w:rPr>
          <w:rFonts w:ascii="Garamond" w:hAnsi="Garamond"/>
        </w:rPr>
        <w:t xml:space="preserve"> These companies were pioneers of zero-emission transit buses that have taken components from their successful beachhead applications and innovated to reach new markets and duty cycles.</w:t>
      </w:r>
    </w:p>
    <w:p w14:paraId="25C6182C" w14:textId="77777777" w:rsidR="00AD4C97" w:rsidRPr="00D14046" w:rsidRDefault="00AD4C97" w:rsidP="00CE3C2B">
      <w:pPr>
        <w:jc w:val="both"/>
        <w:rPr>
          <w:rFonts w:ascii="Garamond" w:hAnsi="Garamond"/>
        </w:rPr>
      </w:pPr>
    </w:p>
    <w:p w14:paraId="3B9A1824" w14:textId="77777777" w:rsidR="00AD4C97" w:rsidRPr="00D14046" w:rsidRDefault="00AD4C97" w:rsidP="00CE3C2B">
      <w:pPr>
        <w:jc w:val="both"/>
        <w:rPr>
          <w:rFonts w:ascii="Garamond" w:hAnsi="Garamond"/>
        </w:rPr>
      </w:pPr>
      <w:r w:rsidRPr="00D14046">
        <w:rPr>
          <w:rFonts w:ascii="Garamond" w:hAnsi="Garamond"/>
        </w:rPr>
        <w:t>The ZECV market is growing quickly through additional commitments by companies that have not strictly developed all-electric transit buses. The diverse group that is innovating to meet growing demand in beachhead markets includes:</w:t>
      </w:r>
    </w:p>
    <w:p w14:paraId="219CF3D9" w14:textId="22584A6D" w:rsidR="00AD4C97" w:rsidRPr="00D14046" w:rsidRDefault="00AD4C97" w:rsidP="00CE3C2B">
      <w:pPr>
        <w:pStyle w:val="ListParagraph"/>
        <w:numPr>
          <w:ilvl w:val="0"/>
          <w:numId w:val="3"/>
        </w:numPr>
        <w:jc w:val="both"/>
        <w:rPr>
          <w:rFonts w:ascii="Garamond" w:hAnsi="Garamond" w:cs="Arial"/>
        </w:rPr>
      </w:pPr>
      <w:r w:rsidRPr="3E8645EE">
        <w:rPr>
          <w:rFonts w:ascii="Garamond" w:hAnsi="Garamond" w:cs="Arial"/>
        </w:rPr>
        <w:t xml:space="preserve">Newer </w:t>
      </w:r>
      <w:r w:rsidR="00A52252">
        <w:rPr>
          <w:rFonts w:ascii="Garamond" w:hAnsi="Garamond" w:cs="Arial"/>
        </w:rPr>
        <w:t>manufacturers</w:t>
      </w:r>
      <w:r w:rsidR="00A52252" w:rsidRPr="3E8645EE">
        <w:rPr>
          <w:rFonts w:ascii="Garamond" w:hAnsi="Garamond" w:cs="Arial"/>
        </w:rPr>
        <w:t xml:space="preserve"> </w:t>
      </w:r>
      <w:r w:rsidR="00A71BB7" w:rsidRPr="3E8645EE">
        <w:rPr>
          <w:rFonts w:ascii="Garamond" w:hAnsi="Garamond" w:cs="Arial"/>
        </w:rPr>
        <w:t xml:space="preserve">that </w:t>
      </w:r>
      <w:r w:rsidRPr="3E8645EE">
        <w:rPr>
          <w:rFonts w:ascii="Garamond" w:hAnsi="Garamond" w:cs="Arial"/>
        </w:rPr>
        <w:t xml:space="preserve">have shown flexible approaches to ZECV markets and designs. </w:t>
      </w:r>
      <w:r w:rsidR="00DE13FE" w:rsidRPr="3E8645EE">
        <w:rPr>
          <w:rFonts w:ascii="Garamond" w:hAnsi="Garamond" w:cs="Arial"/>
        </w:rPr>
        <w:t xml:space="preserve">For example, </w:t>
      </w:r>
      <w:r w:rsidRPr="3E8645EE">
        <w:rPr>
          <w:rFonts w:ascii="Garamond" w:hAnsi="Garamond" w:cs="Arial"/>
        </w:rPr>
        <w:t>Lion Electric, a Canadian company that has split out of a traditional school bus manufacturer, produces all-electric school buses that have been deployed across Canada and the United States. The range of products expanded in 2019</w:t>
      </w:r>
      <w:r w:rsidR="00A52252">
        <w:rPr>
          <w:rFonts w:ascii="Garamond" w:hAnsi="Garamond" w:cs="Arial"/>
        </w:rPr>
        <w:t xml:space="preserve"> to</w:t>
      </w:r>
      <w:r w:rsidRPr="3E8645EE">
        <w:rPr>
          <w:rFonts w:ascii="Garamond" w:hAnsi="Garamond" w:cs="Arial"/>
        </w:rPr>
        <w:t xml:space="preserve"> include a flexible class 8 chassis that can be adapted to serve multiple heavy-duty trucking functions, from regional haul to refuse trucks</w:t>
      </w:r>
      <w:r w:rsidR="00BD6C2A" w:rsidRPr="3E8645EE">
        <w:rPr>
          <w:rFonts w:ascii="Garamond" w:hAnsi="Garamond" w:cs="Arial"/>
        </w:rPr>
        <w:t xml:space="preserve"> </w:t>
      </w:r>
      <w:r w:rsidR="00BD6C2A" w:rsidRPr="3E8645EE">
        <w:rPr>
          <w:rFonts w:ascii="Garamond" w:hAnsi="Garamond"/>
        </w:rPr>
        <w:t>(Lion, 2020).</w:t>
      </w:r>
      <w:r w:rsidRPr="3E8645EE">
        <w:rPr>
          <w:rFonts w:ascii="Garamond" w:hAnsi="Garamond" w:cs="Arial"/>
        </w:rPr>
        <w:t xml:space="preserve"> </w:t>
      </w:r>
    </w:p>
    <w:p w14:paraId="436BF4DE" w14:textId="302BF8F0" w:rsidR="00AD4C97" w:rsidRPr="00D14046" w:rsidRDefault="00AD4C97" w:rsidP="00CE3C2B">
      <w:pPr>
        <w:pStyle w:val="ListParagraph"/>
        <w:numPr>
          <w:ilvl w:val="0"/>
          <w:numId w:val="3"/>
        </w:numPr>
        <w:jc w:val="both"/>
        <w:rPr>
          <w:rFonts w:ascii="Garamond" w:hAnsi="Garamond" w:cs="Arial"/>
        </w:rPr>
      </w:pPr>
      <w:r w:rsidRPr="00D14046">
        <w:rPr>
          <w:rFonts w:ascii="Garamond" w:hAnsi="Garamond" w:cs="Arial"/>
        </w:rPr>
        <w:t xml:space="preserve">Traditional automakers </w:t>
      </w:r>
      <w:r w:rsidR="00D82541">
        <w:rPr>
          <w:rFonts w:ascii="Garamond" w:hAnsi="Garamond" w:cs="Arial"/>
        </w:rPr>
        <w:t>that</w:t>
      </w:r>
      <w:r w:rsidRPr="00D14046">
        <w:rPr>
          <w:rFonts w:ascii="Garamond" w:hAnsi="Garamond" w:cs="Arial"/>
        </w:rPr>
        <w:t xml:space="preserve"> have also demonstrated flexible ZECV manufacturing designs. </w:t>
      </w:r>
      <w:r w:rsidR="002D5F66">
        <w:rPr>
          <w:rFonts w:ascii="Garamond" w:hAnsi="Garamond" w:cs="Arial"/>
        </w:rPr>
        <w:t>For example, g</w:t>
      </w:r>
      <w:r w:rsidRPr="00D14046">
        <w:rPr>
          <w:rFonts w:ascii="Garamond" w:hAnsi="Garamond" w:cs="Arial"/>
        </w:rPr>
        <w:t xml:space="preserve">lobal heavy-duty truck and bus manufacturer Volvo developed an all-electric powertrain for transit buses, then adapted the platform for applications that have similar performance needs. Variants of Volvo’s 185 kW and 370kW powertrain have been used in a long-body transit bus, class 8 tractors, and refuse trucks. </w:t>
      </w:r>
    </w:p>
    <w:p w14:paraId="37F9672F" w14:textId="58A0AEA3" w:rsidR="00AD4C97" w:rsidRPr="00D14046" w:rsidRDefault="00AD4C97" w:rsidP="00CE3C2B">
      <w:pPr>
        <w:pStyle w:val="ListParagraph"/>
        <w:numPr>
          <w:ilvl w:val="0"/>
          <w:numId w:val="3"/>
        </w:numPr>
        <w:jc w:val="both"/>
        <w:rPr>
          <w:rFonts w:ascii="Garamond" w:hAnsi="Garamond" w:cs="Arial"/>
          <w:i/>
          <w:iCs/>
        </w:rPr>
      </w:pPr>
      <w:r w:rsidRPr="00D14046">
        <w:rPr>
          <w:rFonts w:ascii="Garamond" w:hAnsi="Garamond" w:cs="Arial"/>
        </w:rPr>
        <w:t xml:space="preserve">Vehicle upfitters and modifiers </w:t>
      </w:r>
      <w:r w:rsidR="00D82541">
        <w:rPr>
          <w:rFonts w:ascii="Garamond" w:hAnsi="Garamond" w:cs="Arial"/>
        </w:rPr>
        <w:t>that</w:t>
      </w:r>
      <w:r w:rsidRPr="00D14046">
        <w:rPr>
          <w:rFonts w:ascii="Garamond" w:hAnsi="Garamond" w:cs="Arial"/>
        </w:rPr>
        <w:t xml:space="preserve"> have developed and are continuously improving zero-emission drivetrains in a range of vehicles, from small shuttles to medium-duty delivery trucks and heavy-duty drayage trucks. The number of upfitters and modifiers and their diversity of models is growing to meet fleet demands. Individual companies such as </w:t>
      </w:r>
      <w:proofErr w:type="spellStart"/>
      <w:r w:rsidRPr="00D14046">
        <w:rPr>
          <w:rFonts w:ascii="Garamond" w:hAnsi="Garamond" w:cs="Arial"/>
        </w:rPr>
        <w:t>Motiv</w:t>
      </w:r>
      <w:proofErr w:type="spellEnd"/>
      <w:r w:rsidRPr="00D14046">
        <w:rPr>
          <w:rFonts w:ascii="Garamond" w:hAnsi="Garamond" w:cs="Arial"/>
        </w:rPr>
        <w:t>, Lightning, Phoenix, and SEA Electric incorporate parts from Roush and other large vehicle component manufacturers with innovative vehicle redesigns to existing vehicles to create custom-designed trucks, buses, and shuttles.</w:t>
      </w:r>
    </w:p>
    <w:p w14:paraId="20A1FDFB" w14:textId="77777777" w:rsidR="00AD4C97" w:rsidRPr="00D14046" w:rsidRDefault="00AD4C97" w:rsidP="00052F8A">
      <w:pPr>
        <w:rPr>
          <w:rFonts w:ascii="Garamond" w:hAnsi="Garamond" w:cs="Arial"/>
          <w:i/>
          <w:iCs/>
        </w:rPr>
      </w:pPr>
    </w:p>
    <w:p w14:paraId="03EFF36E" w14:textId="7B2FE33F" w:rsidR="00AD4C97" w:rsidRPr="00D14046" w:rsidRDefault="00AD4C97" w:rsidP="005C234E">
      <w:pPr>
        <w:pStyle w:val="Heading3"/>
      </w:pPr>
      <w:bookmarkStart w:id="27" w:name="_Toc53065366"/>
      <w:r w:rsidRPr="00D14046">
        <w:lastRenderedPageBreak/>
        <w:t>Off-Road / Closed System Innovations</w:t>
      </w:r>
      <w:bookmarkEnd w:id="27"/>
    </w:p>
    <w:p w14:paraId="275A6967" w14:textId="07ECAB91" w:rsidR="00AD4C97" w:rsidRPr="00D14046" w:rsidRDefault="00AD4C97" w:rsidP="00CE3C2B">
      <w:pPr>
        <w:jc w:val="both"/>
        <w:rPr>
          <w:rFonts w:ascii="Garamond" w:hAnsi="Garamond"/>
        </w:rPr>
      </w:pPr>
      <w:r w:rsidRPr="00D14046">
        <w:rPr>
          <w:rFonts w:ascii="Garamond" w:hAnsi="Garamond"/>
        </w:rPr>
        <w:t>Zero-emission technologies are already common for some off-road equipment including forklifts and airport ground support equipment</w:t>
      </w:r>
      <w:r w:rsidR="00656285">
        <w:rPr>
          <w:rFonts w:ascii="Garamond" w:hAnsi="Garamond"/>
        </w:rPr>
        <w:t xml:space="preserve"> (GSE)</w:t>
      </w:r>
      <w:r w:rsidRPr="00D14046">
        <w:rPr>
          <w:rFonts w:ascii="Garamond" w:hAnsi="Garamond"/>
        </w:rPr>
        <w:t>. CARB describes zero-emission forklifts as “ubiquitous” in the state and suggests that several other technologies, including but not limited to yard trucks, heavy lifts, and transportation refrigeration units, are primed for expansion beyond initial applications. For example, JetBlue operates entirely zero-emission airport GSE at Long Beach Airport in California and at JFK Airport in New York</w:t>
      </w:r>
      <w:r w:rsidR="00BD6C2A">
        <w:rPr>
          <w:rFonts w:ascii="Garamond" w:hAnsi="Garamond"/>
        </w:rPr>
        <w:t xml:space="preserve"> (Bloomberg, 2019).</w:t>
      </w:r>
      <w:r w:rsidRPr="00D14046">
        <w:rPr>
          <w:rFonts w:ascii="Garamond" w:hAnsi="Garamond"/>
        </w:rPr>
        <w:t xml:space="preserve"> These technologies fit the evolution of beachhead markets in Figure 1, where the application of zero-emission technologies in initial applications such as forklifts and ground service equipment branch out to subsequent applications. </w:t>
      </w:r>
    </w:p>
    <w:p w14:paraId="528A4EDC" w14:textId="77777777" w:rsidR="00AD4C97" w:rsidRDefault="00AD4C97" w:rsidP="00CE3C2B">
      <w:pPr>
        <w:jc w:val="both"/>
      </w:pPr>
    </w:p>
    <w:p w14:paraId="1F0041D7" w14:textId="7787E667" w:rsidR="00AD4C97" w:rsidRPr="00D14046" w:rsidRDefault="00AD4C97" w:rsidP="00CE3C2B">
      <w:pPr>
        <w:jc w:val="both"/>
        <w:rPr>
          <w:rFonts w:ascii="Garamond" w:hAnsi="Garamond"/>
        </w:rPr>
      </w:pPr>
      <w:r w:rsidRPr="00D14046">
        <w:rPr>
          <w:rFonts w:ascii="Garamond" w:hAnsi="Garamond"/>
        </w:rPr>
        <w:t xml:space="preserve">Additional </w:t>
      </w:r>
      <w:r w:rsidR="008364C7">
        <w:rPr>
          <w:rFonts w:ascii="Garamond" w:hAnsi="Garamond"/>
        </w:rPr>
        <w:t>zero-emission</w:t>
      </w:r>
      <w:r w:rsidR="008364C7" w:rsidRPr="00D14046">
        <w:rPr>
          <w:rFonts w:ascii="Garamond" w:hAnsi="Garamond"/>
        </w:rPr>
        <w:t xml:space="preserve"> </w:t>
      </w:r>
      <w:r w:rsidRPr="00D14046">
        <w:rPr>
          <w:rFonts w:ascii="Garamond" w:hAnsi="Garamond"/>
        </w:rPr>
        <w:t xml:space="preserve">technologies are currently being tested within California. For example, the Port of Long Beach and Toyota have been operating a custom-built heavy-duty zero-emission fuel cell drayage truck that uses core components from its light-duty </w:t>
      </w:r>
      <w:proofErr w:type="spellStart"/>
      <w:r w:rsidRPr="00D14046">
        <w:rPr>
          <w:rFonts w:ascii="Garamond" w:hAnsi="Garamond"/>
        </w:rPr>
        <w:t>Mirai</w:t>
      </w:r>
      <w:proofErr w:type="spellEnd"/>
      <w:r w:rsidR="00823203">
        <w:rPr>
          <w:rFonts w:ascii="Garamond" w:hAnsi="Garamond"/>
        </w:rPr>
        <w:t xml:space="preserve"> (Trucks, 2019)</w:t>
      </w:r>
      <w:r w:rsidRPr="00D14046">
        <w:rPr>
          <w:rFonts w:ascii="Garamond" w:hAnsi="Garamond"/>
        </w:rPr>
        <w:t>.</w:t>
      </w:r>
      <w:r w:rsidR="00823203">
        <w:rPr>
          <w:rStyle w:val="CommentReference"/>
        </w:rPr>
        <w:t xml:space="preserve"> </w:t>
      </w:r>
      <w:r w:rsidRPr="00D14046">
        <w:rPr>
          <w:rFonts w:ascii="Garamond" w:hAnsi="Garamond"/>
        </w:rPr>
        <w:t xml:space="preserve"> The Port</w:t>
      </w:r>
      <w:r w:rsidR="00813639">
        <w:rPr>
          <w:rFonts w:ascii="Garamond" w:hAnsi="Garamond"/>
        </w:rPr>
        <w:t xml:space="preserve">s of Long Beach and Los Angeles </w:t>
      </w:r>
      <w:r w:rsidRPr="00D14046">
        <w:rPr>
          <w:rFonts w:ascii="Garamond" w:hAnsi="Garamond"/>
        </w:rPr>
        <w:t xml:space="preserve">will also test the following ZECV technologies at </w:t>
      </w:r>
      <w:r w:rsidR="00813639">
        <w:rPr>
          <w:rFonts w:ascii="Garamond" w:hAnsi="Garamond"/>
        </w:rPr>
        <w:t>their</w:t>
      </w:r>
      <w:r w:rsidR="00813639" w:rsidRPr="00D14046">
        <w:rPr>
          <w:rFonts w:ascii="Garamond" w:hAnsi="Garamond"/>
        </w:rPr>
        <w:t xml:space="preserve"> </w:t>
      </w:r>
      <w:r w:rsidRPr="00D14046">
        <w:rPr>
          <w:rFonts w:ascii="Garamond" w:hAnsi="Garamond"/>
        </w:rPr>
        <w:t>facilities</w:t>
      </w:r>
      <w:r w:rsidR="007805A3">
        <w:rPr>
          <w:rFonts w:ascii="Garamond" w:hAnsi="Garamond"/>
        </w:rPr>
        <w:t xml:space="preserve"> (Port of LA, 2020)</w:t>
      </w:r>
      <w:r w:rsidRPr="00D14046">
        <w:rPr>
          <w:rFonts w:ascii="Garamond" w:hAnsi="Garamond"/>
        </w:rPr>
        <w:t>:</w:t>
      </w:r>
      <w:r w:rsidRPr="00D14046">
        <w:rPr>
          <w:rStyle w:val="EndnoteReference"/>
          <w:rFonts w:ascii="Garamond" w:hAnsi="Garamond"/>
        </w:rPr>
        <w:t xml:space="preserve"> </w:t>
      </w:r>
    </w:p>
    <w:p w14:paraId="67EA8881" w14:textId="77777777" w:rsidR="00AD4C97" w:rsidRPr="00D14046" w:rsidRDefault="00AD4C97" w:rsidP="00CE3C2B">
      <w:pPr>
        <w:pStyle w:val="ListParagraph"/>
        <w:numPr>
          <w:ilvl w:val="0"/>
          <w:numId w:val="4"/>
        </w:numPr>
        <w:jc w:val="both"/>
        <w:rPr>
          <w:rFonts w:ascii="Garamond" w:hAnsi="Garamond" w:cs="Arial"/>
        </w:rPr>
      </w:pPr>
      <w:r w:rsidRPr="00D14046">
        <w:rPr>
          <w:rFonts w:ascii="Garamond" w:hAnsi="Garamond" w:cs="Arial"/>
        </w:rPr>
        <w:t xml:space="preserve">Fuel cell drayage trucks that operate on freight corridors between </w:t>
      </w:r>
      <w:proofErr w:type="gramStart"/>
      <w:r w:rsidRPr="00D14046">
        <w:rPr>
          <w:rFonts w:ascii="Garamond" w:hAnsi="Garamond" w:cs="Arial"/>
        </w:rPr>
        <w:t>ports;</w:t>
      </w:r>
      <w:proofErr w:type="gramEnd"/>
    </w:p>
    <w:p w14:paraId="2B83ADEF" w14:textId="18BBD491" w:rsidR="00AD4C97" w:rsidRPr="00D14046" w:rsidRDefault="00AD4C97" w:rsidP="00CE3C2B">
      <w:pPr>
        <w:pStyle w:val="ListParagraph"/>
        <w:numPr>
          <w:ilvl w:val="0"/>
          <w:numId w:val="4"/>
        </w:numPr>
        <w:jc w:val="both"/>
        <w:rPr>
          <w:rFonts w:ascii="Garamond" w:hAnsi="Garamond" w:cs="Arial"/>
        </w:rPr>
      </w:pPr>
      <w:r w:rsidRPr="00D14046">
        <w:rPr>
          <w:rFonts w:ascii="Garamond" w:hAnsi="Garamond" w:cs="Arial"/>
        </w:rPr>
        <w:t xml:space="preserve">Converted existing fossil-fueled equipment to zero- or near-zero emissions, including nine all-electric cranes, 12 all-electric yard tractors, and four plug-in hybrid electric drayage </w:t>
      </w:r>
      <w:proofErr w:type="gramStart"/>
      <w:r w:rsidRPr="00D14046">
        <w:rPr>
          <w:rFonts w:ascii="Garamond" w:hAnsi="Garamond" w:cs="Arial"/>
        </w:rPr>
        <w:t>trucks;</w:t>
      </w:r>
      <w:proofErr w:type="gramEnd"/>
    </w:p>
    <w:p w14:paraId="75B460F8" w14:textId="0EB60036" w:rsidR="00AD4C97" w:rsidRPr="00D14046" w:rsidRDefault="00AD4C97" w:rsidP="00CE3C2B">
      <w:pPr>
        <w:pStyle w:val="ListParagraph"/>
        <w:numPr>
          <w:ilvl w:val="0"/>
          <w:numId w:val="4"/>
        </w:numPr>
        <w:jc w:val="both"/>
        <w:rPr>
          <w:rFonts w:ascii="Garamond" w:hAnsi="Garamond" w:cs="Arial"/>
        </w:rPr>
      </w:pPr>
      <w:r w:rsidRPr="00D14046">
        <w:rPr>
          <w:rFonts w:ascii="Garamond" w:hAnsi="Garamond" w:cs="Arial"/>
        </w:rPr>
        <w:t>Demonstrations of new zero-emissions vehicles, including three all-electric top handlers, one all-electric yard tractor, and one fuel cell yard tractor; and</w:t>
      </w:r>
    </w:p>
    <w:p w14:paraId="23F8FE4F" w14:textId="428C1C31" w:rsidR="00AD4C97" w:rsidRPr="00D14046" w:rsidRDefault="00AD4C97" w:rsidP="00CE3C2B">
      <w:pPr>
        <w:pStyle w:val="ListParagraph"/>
        <w:numPr>
          <w:ilvl w:val="0"/>
          <w:numId w:val="4"/>
        </w:numPr>
        <w:jc w:val="both"/>
        <w:rPr>
          <w:rFonts w:ascii="Garamond" w:hAnsi="Garamond" w:cs="Arial"/>
        </w:rPr>
      </w:pPr>
      <w:r w:rsidRPr="00D14046">
        <w:rPr>
          <w:rFonts w:ascii="Garamond" w:hAnsi="Garamond" w:cs="Arial"/>
        </w:rPr>
        <w:t>Four all-electric retrofit</w:t>
      </w:r>
      <w:r>
        <w:rPr>
          <w:rFonts w:ascii="Garamond" w:hAnsi="Garamond" w:cs="Arial"/>
        </w:rPr>
        <w:t xml:space="preserve">ted </w:t>
      </w:r>
      <w:r w:rsidRPr="00D14046">
        <w:rPr>
          <w:rFonts w:ascii="Garamond" w:hAnsi="Garamond" w:cs="Arial"/>
        </w:rPr>
        <w:t>tugboats.</w:t>
      </w:r>
    </w:p>
    <w:p w14:paraId="2FAC6FE9" w14:textId="6CAF3372" w:rsidR="00AD4C97" w:rsidRDefault="00AD4C97" w:rsidP="00CE3C2B">
      <w:pPr>
        <w:jc w:val="both"/>
        <w:rPr>
          <w:i/>
          <w:iCs/>
        </w:rPr>
      </w:pPr>
      <w:r w:rsidRPr="00D14046">
        <w:rPr>
          <w:rFonts w:ascii="Garamond" w:hAnsi="Garamond"/>
        </w:rPr>
        <w:t>Though the numbers of vehicles being tested are relatively small, the diversity of ZECV applications demonstrates the real-world value of innovating with existing ZECV components to reach new vehicle markets. Off-road technologies are expected to have significantly longer life expectancies but much lower volumes than their on-road counterparts. Users purchase railcar switchers, cranes, cargo loaders and construction equipment at prices easily exceeding one million dollars and with an expected life of twenty or more years</w:t>
      </w:r>
      <w:r w:rsidR="00B80926">
        <w:rPr>
          <w:rFonts w:ascii="Garamond" w:hAnsi="Garamond"/>
        </w:rPr>
        <w:t xml:space="preserve"> (EPA, 2005)</w:t>
      </w:r>
      <w:r w:rsidRPr="00D14046">
        <w:rPr>
          <w:rFonts w:ascii="Garamond" w:hAnsi="Garamond"/>
        </w:rPr>
        <w:t>. Within this context the need to develop zero-emission components for higher volume on-road applications that can support and reduce the costs of off-road vehicles is even more critical.</w:t>
      </w:r>
    </w:p>
    <w:p w14:paraId="054E1889" w14:textId="44ED45F9" w:rsidR="00AD4C97" w:rsidRPr="00D14046" w:rsidRDefault="00AD4C97" w:rsidP="00D66C05">
      <w:pPr>
        <w:pStyle w:val="Heading3"/>
      </w:pPr>
      <w:bookmarkStart w:id="28" w:name="_Toc53065367"/>
      <w:r w:rsidRPr="00D14046">
        <w:t>Tech</w:t>
      </w:r>
      <w:r w:rsidR="00454E32">
        <w:t>nology</w:t>
      </w:r>
      <w:r w:rsidRPr="00D14046">
        <w:t xml:space="preserve"> Transfer Between Systems</w:t>
      </w:r>
      <w:bookmarkEnd w:id="28"/>
    </w:p>
    <w:p w14:paraId="200FFFE9" w14:textId="2A81115D" w:rsidR="00AD4C97" w:rsidRDefault="00AD4C97" w:rsidP="00CE3C2B">
      <w:pPr>
        <w:jc w:val="both"/>
        <w:rPr>
          <w:rFonts w:ascii="Garamond" w:hAnsi="Garamond"/>
        </w:rPr>
      </w:pPr>
      <w:r w:rsidRPr="00D14046">
        <w:rPr>
          <w:rFonts w:ascii="Garamond" w:hAnsi="Garamond"/>
        </w:rPr>
        <w:t xml:space="preserve">Certain ZECV technologies have been developed and incorporated in parallel between systems, providing new applications in vehicle systems. As Figure 1 illustrates, many technologies from closed systems with industrial purposes may be applied to improve on-road vehicle technologies. CARB describes the transfer of fuel cells from industrial lifts to range extenders that can be used in on-road trucks and buses, which are currently in pilot phases, as “enabling, if not in all cases directly leading to, additional applications” that include heavy-duty applications such as </w:t>
      </w:r>
      <w:r w:rsidR="004B439D">
        <w:rPr>
          <w:rFonts w:ascii="Garamond" w:hAnsi="Garamond"/>
        </w:rPr>
        <w:t>GSE</w:t>
      </w:r>
      <w:r w:rsidRPr="00D14046">
        <w:rPr>
          <w:rFonts w:ascii="Garamond" w:hAnsi="Garamond"/>
        </w:rPr>
        <w:t xml:space="preserve"> and transportation refrigeration units.</w:t>
      </w:r>
      <w:r w:rsidRPr="00CD10B7">
        <w:rPr>
          <w:rFonts w:ascii="Garamond" w:hAnsi="Garamond"/>
        </w:rPr>
        <w:t xml:space="preserve"> </w:t>
      </w:r>
      <w:r w:rsidRPr="00052F8A">
        <w:rPr>
          <w:rFonts w:ascii="Garamond" w:hAnsi="Garamond"/>
        </w:rPr>
        <w:t xml:space="preserve">This technology transfer is </w:t>
      </w:r>
      <w:r>
        <w:rPr>
          <w:rFonts w:ascii="Garamond" w:hAnsi="Garamond"/>
        </w:rPr>
        <w:t xml:space="preserve">also </w:t>
      </w:r>
      <w:r w:rsidRPr="00052F8A">
        <w:rPr>
          <w:rFonts w:ascii="Garamond" w:hAnsi="Garamond"/>
        </w:rPr>
        <w:t>underway in commercial harbor craft, including ferries, excursion vessels, crew and supply vessels, and barges</w:t>
      </w:r>
      <w:r w:rsidR="00B80926">
        <w:rPr>
          <w:rFonts w:ascii="Garamond" w:hAnsi="Garamond"/>
        </w:rPr>
        <w:t xml:space="preserve"> </w:t>
      </w:r>
      <w:r w:rsidR="00B80926" w:rsidRPr="00D3621F">
        <w:rPr>
          <w:rFonts w:ascii="Garamond" w:hAnsi="Garamond"/>
        </w:rPr>
        <w:t>(CARB, 2020</w:t>
      </w:r>
      <w:r w:rsidR="00B80926">
        <w:rPr>
          <w:rFonts w:ascii="Garamond" w:hAnsi="Garamond"/>
        </w:rPr>
        <w:t>a</w:t>
      </w:r>
      <w:r w:rsidR="00B80926" w:rsidRPr="00D3621F">
        <w:rPr>
          <w:rFonts w:ascii="Garamond" w:hAnsi="Garamond"/>
        </w:rPr>
        <w:t>).</w:t>
      </w:r>
    </w:p>
    <w:p w14:paraId="20D953B4" w14:textId="77777777" w:rsidR="00AD4C97" w:rsidRPr="00D14046" w:rsidRDefault="00AD4C97" w:rsidP="00CE3C2B">
      <w:pPr>
        <w:jc w:val="both"/>
        <w:rPr>
          <w:rFonts w:ascii="Garamond" w:hAnsi="Garamond"/>
        </w:rPr>
      </w:pPr>
    </w:p>
    <w:p w14:paraId="4C6CF3DC" w14:textId="4EF7B5E9" w:rsidR="00AD4C97" w:rsidRPr="00D14046" w:rsidRDefault="00AD4C97" w:rsidP="00CE3C2B">
      <w:pPr>
        <w:jc w:val="both"/>
        <w:rPr>
          <w:rFonts w:ascii="Garamond" w:hAnsi="Garamond"/>
        </w:rPr>
      </w:pPr>
      <w:r w:rsidRPr="00D14046">
        <w:rPr>
          <w:rFonts w:ascii="Garamond" w:hAnsi="Garamond"/>
        </w:rPr>
        <w:t xml:space="preserve">Innovation between systems goes both ways; on-road technologies can </w:t>
      </w:r>
      <w:r w:rsidR="00181280">
        <w:rPr>
          <w:rFonts w:ascii="Garamond" w:hAnsi="Garamond"/>
        </w:rPr>
        <w:t xml:space="preserve">also </w:t>
      </w:r>
      <w:r w:rsidRPr="00D14046">
        <w:rPr>
          <w:rFonts w:ascii="Garamond" w:hAnsi="Garamond"/>
        </w:rPr>
        <w:t xml:space="preserve">be used to provide zero-emission solutions for port and off-road equipment. Zero-emission bus and other on-road technology has been applied in marine equipment and in heavy-duty truck applications around the world: </w:t>
      </w:r>
    </w:p>
    <w:p w14:paraId="56CE4102" w14:textId="61D9FCB7" w:rsidR="00AD4C97" w:rsidRPr="00D14046" w:rsidRDefault="00AD4C97" w:rsidP="00CE3C2B">
      <w:pPr>
        <w:pStyle w:val="ListParagraph"/>
        <w:numPr>
          <w:ilvl w:val="0"/>
          <w:numId w:val="5"/>
        </w:numPr>
        <w:jc w:val="both"/>
        <w:rPr>
          <w:rFonts w:ascii="Garamond" w:hAnsi="Garamond" w:cs="Arial"/>
        </w:rPr>
      </w:pPr>
      <w:r w:rsidRPr="00D14046">
        <w:rPr>
          <w:rFonts w:ascii="Garamond" w:hAnsi="Garamond" w:cs="Arial"/>
        </w:rPr>
        <w:lastRenderedPageBreak/>
        <w:t>A hybrid-electric excursion vessel based in the San Francisco Bay area used a system that component supplier BAE Systems traces directly to the powertrain developed for a 60-foot hybrid electric articulated transit bus</w:t>
      </w:r>
      <w:r w:rsidR="00381591">
        <w:rPr>
          <w:rFonts w:ascii="Garamond" w:hAnsi="Garamond" w:cs="Arial"/>
        </w:rPr>
        <w:t xml:space="preserve"> </w:t>
      </w:r>
      <w:r w:rsidR="00381591" w:rsidRPr="00570E6C">
        <w:rPr>
          <w:rFonts w:ascii="Garamond" w:hAnsi="Garamond"/>
        </w:rPr>
        <w:t>(CARB, 2020</w:t>
      </w:r>
      <w:proofErr w:type="gramStart"/>
      <w:r w:rsidR="00381591" w:rsidRPr="00570E6C">
        <w:rPr>
          <w:rFonts w:ascii="Garamond" w:hAnsi="Garamond"/>
        </w:rPr>
        <w:t>)</w:t>
      </w:r>
      <w:r w:rsidR="00EB1D30">
        <w:rPr>
          <w:rFonts w:ascii="Garamond" w:hAnsi="Garamond"/>
        </w:rPr>
        <w:t>;</w:t>
      </w:r>
      <w:proofErr w:type="gramEnd"/>
      <w:r w:rsidRPr="00D14046">
        <w:rPr>
          <w:rFonts w:ascii="Garamond" w:hAnsi="Garamond" w:cs="Arial"/>
        </w:rPr>
        <w:t xml:space="preserve"> </w:t>
      </w:r>
    </w:p>
    <w:p w14:paraId="0AD4261A" w14:textId="02C0F23E" w:rsidR="00AD4C97" w:rsidRPr="00D14046" w:rsidRDefault="00AD4C97" w:rsidP="00CE3C2B">
      <w:pPr>
        <w:pStyle w:val="ListParagraph"/>
        <w:numPr>
          <w:ilvl w:val="0"/>
          <w:numId w:val="5"/>
        </w:numPr>
        <w:jc w:val="both"/>
        <w:rPr>
          <w:rFonts w:ascii="Garamond" w:hAnsi="Garamond" w:cs="Arial"/>
        </w:rPr>
      </w:pPr>
      <w:r w:rsidRPr="00D14046">
        <w:rPr>
          <w:rFonts w:ascii="Garamond" w:hAnsi="Garamond" w:cs="Arial"/>
        </w:rPr>
        <w:t>In northern European ports, such as the ports around Copenhagen, demonstration projects are testing all-electric applications of passenger and vehicle ferries</w:t>
      </w:r>
      <w:r w:rsidR="00790C5A">
        <w:rPr>
          <w:rFonts w:ascii="Garamond" w:hAnsi="Garamond" w:cs="Arial"/>
        </w:rPr>
        <w:t xml:space="preserve"> </w:t>
      </w:r>
      <w:r w:rsidR="00790C5A">
        <w:rPr>
          <w:rFonts w:ascii="Garamond" w:hAnsi="Garamond"/>
        </w:rPr>
        <w:t>(E-Ferry, 2020</w:t>
      </w:r>
      <w:proofErr w:type="gramStart"/>
      <w:r w:rsidR="00790C5A">
        <w:rPr>
          <w:rFonts w:ascii="Garamond" w:hAnsi="Garamond"/>
        </w:rPr>
        <w:t>)</w:t>
      </w:r>
      <w:r w:rsidR="00EB1D30">
        <w:rPr>
          <w:rFonts w:ascii="Garamond" w:hAnsi="Garamond"/>
        </w:rPr>
        <w:t>;</w:t>
      </w:r>
      <w:proofErr w:type="gramEnd"/>
      <w:r w:rsidRPr="00D14046">
        <w:rPr>
          <w:rFonts w:ascii="Garamond" w:hAnsi="Garamond" w:cs="Arial"/>
        </w:rPr>
        <w:t xml:space="preserve"> </w:t>
      </w:r>
    </w:p>
    <w:p w14:paraId="07C66B7F" w14:textId="3F19EE5E" w:rsidR="00AD4C97" w:rsidRPr="00D14046" w:rsidRDefault="00AD4C97" w:rsidP="00CE3C2B">
      <w:pPr>
        <w:pStyle w:val="ListParagraph"/>
        <w:numPr>
          <w:ilvl w:val="0"/>
          <w:numId w:val="5"/>
        </w:numPr>
        <w:jc w:val="both"/>
        <w:rPr>
          <w:rFonts w:ascii="Garamond" w:hAnsi="Garamond" w:cs="Arial"/>
        </w:rPr>
      </w:pPr>
      <w:r w:rsidRPr="00D14046">
        <w:rPr>
          <w:rFonts w:ascii="Garamond" w:hAnsi="Garamond" w:cs="Arial"/>
        </w:rPr>
        <w:t>The Port of Stockton, California is testing 18 of the first commercially available all-electric large-capacity forklifts, which can lift from 30,000 to 70,000 pounds</w:t>
      </w:r>
      <w:r w:rsidR="00381591">
        <w:rPr>
          <w:rFonts w:ascii="Garamond" w:hAnsi="Garamond" w:cs="Arial"/>
        </w:rPr>
        <w:t xml:space="preserve"> </w:t>
      </w:r>
      <w:r w:rsidR="00381591" w:rsidRPr="00570E6C">
        <w:rPr>
          <w:rFonts w:ascii="Garamond" w:hAnsi="Garamond"/>
        </w:rPr>
        <w:t>(CARB, 2020)</w:t>
      </w:r>
      <w:r w:rsidR="00EB1D30">
        <w:rPr>
          <w:rFonts w:ascii="Garamond" w:hAnsi="Garamond"/>
        </w:rPr>
        <w:t>; and</w:t>
      </w:r>
    </w:p>
    <w:p w14:paraId="1772D381" w14:textId="67460F13" w:rsidR="00AD4C97" w:rsidRPr="00A44D3D" w:rsidRDefault="00AD4C97" w:rsidP="008774CD">
      <w:pPr>
        <w:pStyle w:val="ListParagraph"/>
        <w:numPr>
          <w:ilvl w:val="0"/>
          <w:numId w:val="5"/>
        </w:numPr>
        <w:jc w:val="both"/>
        <w:rPr>
          <w:rFonts w:ascii="Garamond" w:hAnsi="Garamond"/>
        </w:rPr>
      </w:pPr>
      <w:r w:rsidRPr="00A44D3D">
        <w:rPr>
          <w:rFonts w:ascii="Garamond" w:hAnsi="Garamond" w:cs="Arial"/>
        </w:rPr>
        <w:t>The world’s largest all-electric vehicle is a dump truck in Switzerland that transports 60 tons of materials downhill, regenerating while laden to power its return trips uphill</w:t>
      </w:r>
      <w:r w:rsidR="00A44D3D">
        <w:rPr>
          <w:rFonts w:ascii="Garamond" w:hAnsi="Garamond" w:cs="Arial"/>
        </w:rPr>
        <w:t xml:space="preserve"> (Popular Mechanics, 2019)</w:t>
      </w:r>
      <w:r w:rsidR="00381591" w:rsidRPr="00A44D3D">
        <w:rPr>
          <w:rFonts w:ascii="Garamond" w:hAnsi="Garamond" w:cs="Arial"/>
        </w:rPr>
        <w:t>.</w:t>
      </w:r>
    </w:p>
    <w:tbl>
      <w:tblPr>
        <w:tblStyle w:val="TableGrid"/>
        <w:tblW w:w="9454" w:type="dxa"/>
        <w:tblLook w:val="04A0" w:firstRow="1" w:lastRow="0" w:firstColumn="1" w:lastColumn="0" w:noHBand="0" w:noVBand="1"/>
      </w:tblPr>
      <w:tblGrid>
        <w:gridCol w:w="9454"/>
      </w:tblGrid>
      <w:tr w:rsidR="00AD4C97" w:rsidRPr="00D14046" w14:paraId="62D76096" w14:textId="77777777" w:rsidTr="10AE95DA">
        <w:trPr>
          <w:trHeight w:val="816"/>
        </w:trPr>
        <w:tc>
          <w:tcPr>
            <w:tcW w:w="9454" w:type="dxa"/>
            <w:shd w:val="clear" w:color="auto" w:fill="DAEEF3" w:themeFill="accent5" w:themeFillTint="33"/>
          </w:tcPr>
          <w:p w14:paraId="2B28BA94" w14:textId="3F0BC2F7" w:rsidR="00AD4C97" w:rsidRPr="00721CF4" w:rsidRDefault="00AD4C97" w:rsidP="00CE3C2B">
            <w:pPr>
              <w:jc w:val="both"/>
              <w:rPr>
                <w:rFonts w:asciiTheme="majorHAnsi" w:hAnsiTheme="majorHAnsi" w:cstheme="majorHAnsi"/>
                <w:b/>
                <w:bCs/>
              </w:rPr>
            </w:pPr>
            <w:bookmarkStart w:id="29" w:name="_Hlk38544431"/>
            <w:r w:rsidRPr="00721CF4">
              <w:rPr>
                <w:rFonts w:asciiTheme="majorHAnsi" w:hAnsiTheme="majorHAnsi" w:cstheme="majorHAnsi"/>
                <w:b/>
                <w:bCs/>
              </w:rPr>
              <w:t>Technological Evolution on Schedule</w:t>
            </w:r>
          </w:p>
          <w:p w14:paraId="72EDDE3C" w14:textId="77777777" w:rsidR="00AD4C97" w:rsidRPr="00D14046" w:rsidRDefault="00AD4C97" w:rsidP="00CE3C2B">
            <w:pPr>
              <w:spacing w:after="80"/>
              <w:jc w:val="both"/>
              <w:rPr>
                <w:rFonts w:ascii="Garamond" w:hAnsi="Garamond"/>
              </w:rPr>
            </w:pPr>
          </w:p>
          <w:p w14:paraId="5BB5A713" w14:textId="5542E0F4" w:rsidR="00AD4C97" w:rsidRPr="00D14046" w:rsidRDefault="00AD4C97" w:rsidP="00CE3C2B">
            <w:pPr>
              <w:spacing w:after="80"/>
              <w:jc w:val="both"/>
              <w:rPr>
                <w:rFonts w:ascii="Garamond" w:hAnsi="Garamond"/>
              </w:rPr>
            </w:pPr>
            <w:r w:rsidRPr="00D14046">
              <w:rPr>
                <w:rFonts w:ascii="Garamond" w:hAnsi="Garamond"/>
              </w:rPr>
              <w:t>Innovation to new beachhead applications is a natural, orderly, and productive process that industry and government entities should prepare for and facilitate. The California Air Resources Board describes progress toward new applications:</w:t>
            </w:r>
            <w:r w:rsidR="00A52252">
              <w:rPr>
                <w:rFonts w:ascii="Garamond" w:hAnsi="Garamond"/>
              </w:rPr>
              <w:t xml:space="preserve"> </w:t>
            </w:r>
            <w:r w:rsidRPr="00D14046">
              <w:rPr>
                <w:rFonts w:ascii="Garamond" w:hAnsi="Garamond"/>
              </w:rPr>
              <w:t>“The success of this [beachhead] strategy has been extremely valuable as a framework for planning the introduction timelines of medium- and heavy-duty electrification. Rather than expecting market launches randomly, there is a clear and sequenced cadence to the growth of zero-emission capabilities. Utilities, cities, fleets, and government agencies can better plan the phased timing of infrastructure deployments, supporting policies, incentives, and development of funding and use regulations based on this steady expansion and progression.”</w:t>
            </w:r>
            <w:r w:rsidR="0095154C">
              <w:rPr>
                <w:rFonts w:ascii="Garamond" w:hAnsi="Garamond"/>
              </w:rPr>
              <w:t xml:space="preserve"> </w:t>
            </w:r>
            <w:r w:rsidR="0095154C" w:rsidRPr="00570E6C">
              <w:rPr>
                <w:rFonts w:ascii="Garamond" w:hAnsi="Garamond"/>
              </w:rPr>
              <w:t>(CARB, 2020).</w:t>
            </w:r>
          </w:p>
        </w:tc>
      </w:tr>
      <w:bookmarkEnd w:id="29"/>
    </w:tbl>
    <w:p w14:paraId="1273F77C" w14:textId="77777777" w:rsidR="00AD4C97" w:rsidRPr="00D14046" w:rsidRDefault="00AD4C97" w:rsidP="0035480F">
      <w:pPr>
        <w:spacing w:before="240" w:after="240"/>
        <w:rPr>
          <w:rFonts w:ascii="Garamond" w:hAnsi="Garamond"/>
          <w:color w:val="FF9900"/>
        </w:rPr>
      </w:pPr>
    </w:p>
    <w:p w14:paraId="6E3D33B4" w14:textId="21FAA61A" w:rsidR="00AD4C97" w:rsidRPr="00D14046" w:rsidRDefault="00AD4C97" w:rsidP="00721CF4">
      <w:pPr>
        <w:pStyle w:val="Heading2"/>
      </w:pPr>
      <w:bookmarkStart w:id="30" w:name="_Toc53065368"/>
      <w:r w:rsidRPr="00D14046">
        <w:t>Manufacturing Improvements</w:t>
      </w:r>
      <w:bookmarkEnd w:id="30"/>
    </w:p>
    <w:p w14:paraId="5B31E083" w14:textId="3647BCC5" w:rsidR="00AD4C97" w:rsidRPr="00D14046" w:rsidRDefault="00AD4C97" w:rsidP="00CE3C2B">
      <w:pPr>
        <w:jc w:val="both"/>
        <w:rPr>
          <w:rFonts w:ascii="Garamond" w:hAnsi="Garamond" w:cstheme="minorBidi"/>
        </w:rPr>
      </w:pPr>
      <w:r w:rsidRPr="00D14046">
        <w:rPr>
          <w:rFonts w:ascii="Garamond" w:hAnsi="Garamond"/>
        </w:rPr>
        <w:t xml:space="preserve">Refining vehicle component production and distribution is a critical step to reducing costs and improving performance. As production scales up to meet growing demand, process improvements and falling component costs will make vehicles more affordable in the initial markets of first success. </w:t>
      </w:r>
      <w:r w:rsidRPr="00D14046">
        <w:rPr>
          <w:rFonts w:ascii="Garamond" w:hAnsi="Garamond" w:cstheme="minorBidi"/>
        </w:rPr>
        <w:t>McKinsey estimates that electric vehicle production costs in the light-duty segment will fall by over 20 percent by 2025 owing to falling battery manufacturing costs and process improvements</w:t>
      </w:r>
      <w:r w:rsidR="000072ED">
        <w:rPr>
          <w:rFonts w:ascii="Garamond" w:hAnsi="Garamond" w:cstheme="minorBidi"/>
        </w:rPr>
        <w:t xml:space="preserve"> </w:t>
      </w:r>
      <w:r w:rsidR="000072ED">
        <w:rPr>
          <w:rFonts w:ascii="Garamond" w:hAnsi="Garamond"/>
        </w:rPr>
        <w:t>(McKinsey, 2019).</w:t>
      </w:r>
      <w:r w:rsidRPr="00D14046">
        <w:rPr>
          <w:rFonts w:ascii="Garamond" w:hAnsi="Garamond" w:cstheme="minorBidi"/>
        </w:rPr>
        <w:t xml:space="preserve"> Within a beachhead market, where production volumes are expected to increase and supply chain management will become more streamlined, production costs are also expected to fall. Similarly, the cost of hydrogen for fuel cell vehicles is currently expensive relative to diesel, but fuel costs are expected to decrease as fuel cell technology and the scale of hydrogen production and fueling sites increases.</w:t>
      </w:r>
    </w:p>
    <w:p w14:paraId="29BF9664" w14:textId="77777777" w:rsidR="00AD4C97" w:rsidRPr="00D14046" w:rsidRDefault="00AD4C97" w:rsidP="00CE3C2B">
      <w:pPr>
        <w:jc w:val="both"/>
        <w:rPr>
          <w:rFonts w:ascii="Garamond" w:hAnsi="Garamond" w:cstheme="minorHAnsi"/>
        </w:rPr>
      </w:pPr>
    </w:p>
    <w:p w14:paraId="450DDAFE" w14:textId="01BCDCEB" w:rsidR="00AD4C97" w:rsidRPr="00D14046" w:rsidRDefault="00AD4C97" w:rsidP="00CE3C2B">
      <w:pPr>
        <w:jc w:val="both"/>
        <w:rPr>
          <w:rFonts w:ascii="Garamond" w:hAnsi="Garamond" w:cstheme="minorHAnsi"/>
        </w:rPr>
      </w:pPr>
      <w:r w:rsidRPr="00D14046">
        <w:rPr>
          <w:rFonts w:ascii="Garamond" w:hAnsi="Garamond" w:cstheme="minorHAnsi"/>
        </w:rPr>
        <w:t xml:space="preserve">Zero-emission vehicles are known for needing fewer major components for their operations, but those components are specialized and relatively new to the vehicle market, particularly in the commercial space. Each of these components must be manufactured and installed in an efficient, cost-effective manner that reduces </w:t>
      </w:r>
      <w:r w:rsidR="00FC1666">
        <w:rPr>
          <w:rFonts w:ascii="Garamond" w:hAnsi="Garamond" w:cstheme="minorHAnsi"/>
        </w:rPr>
        <w:t xml:space="preserve">battery </w:t>
      </w:r>
      <w:r w:rsidRPr="00D14046">
        <w:rPr>
          <w:rFonts w:ascii="Garamond" w:hAnsi="Garamond" w:cstheme="minorHAnsi"/>
        </w:rPr>
        <w:t xml:space="preserve">weight and space </w:t>
      </w:r>
      <w:r w:rsidR="00867A77">
        <w:rPr>
          <w:rFonts w:ascii="Garamond" w:hAnsi="Garamond" w:cstheme="minorHAnsi"/>
        </w:rPr>
        <w:t>requirements</w:t>
      </w:r>
      <w:r w:rsidRPr="00D14046">
        <w:rPr>
          <w:rFonts w:ascii="Garamond" w:hAnsi="Garamond" w:cstheme="minorHAnsi"/>
        </w:rPr>
        <w:t xml:space="preserve">, emphasizes reliable performance, and can be produced quickly to </w:t>
      </w:r>
      <w:r w:rsidR="00493AAC">
        <w:rPr>
          <w:rFonts w:ascii="Garamond" w:hAnsi="Garamond" w:cstheme="minorHAnsi"/>
        </w:rPr>
        <w:t>assemble</w:t>
      </w:r>
      <w:r w:rsidR="00493AAC" w:rsidRPr="00D14046">
        <w:rPr>
          <w:rFonts w:ascii="Garamond" w:hAnsi="Garamond" w:cstheme="minorHAnsi"/>
        </w:rPr>
        <w:t xml:space="preserve"> </w:t>
      </w:r>
      <w:r w:rsidRPr="00D14046">
        <w:rPr>
          <w:rFonts w:ascii="Garamond" w:hAnsi="Garamond" w:cstheme="minorHAnsi"/>
        </w:rPr>
        <w:t>new vehicles or to provide replacement parts. Because the market is new</w:t>
      </w:r>
      <w:r w:rsidR="00130950">
        <w:rPr>
          <w:rFonts w:ascii="Garamond" w:hAnsi="Garamond" w:cstheme="minorHAnsi"/>
        </w:rPr>
        <w:t xml:space="preserve"> and manufacturing volume</w:t>
      </w:r>
      <w:r w:rsidR="00392DD4">
        <w:rPr>
          <w:rFonts w:ascii="Garamond" w:hAnsi="Garamond" w:cstheme="minorHAnsi"/>
        </w:rPr>
        <w:t>s are low</w:t>
      </w:r>
      <w:r w:rsidRPr="00D14046">
        <w:rPr>
          <w:rFonts w:ascii="Garamond" w:hAnsi="Garamond" w:cstheme="minorHAnsi"/>
        </w:rPr>
        <w:t xml:space="preserve">, </w:t>
      </w:r>
      <w:r w:rsidR="002175B9">
        <w:rPr>
          <w:rFonts w:ascii="Garamond" w:hAnsi="Garamond" w:cstheme="minorHAnsi"/>
        </w:rPr>
        <w:t>many</w:t>
      </w:r>
      <w:r w:rsidRPr="00D14046">
        <w:rPr>
          <w:rFonts w:ascii="Garamond" w:hAnsi="Garamond" w:cstheme="minorHAnsi"/>
        </w:rPr>
        <w:t xml:space="preserve"> components (particularly the main batteries) are expensive. A robust ZECV market will require reduced costs and readily available component parts.</w:t>
      </w:r>
    </w:p>
    <w:p w14:paraId="7EFE90EA" w14:textId="070A6290" w:rsidR="00AD4C97" w:rsidRPr="00D14046" w:rsidRDefault="00AD4C97" w:rsidP="00CE3C2B">
      <w:pPr>
        <w:jc w:val="both"/>
        <w:rPr>
          <w:rFonts w:ascii="Garamond" w:hAnsi="Garamond" w:cstheme="minorHAnsi"/>
        </w:rPr>
      </w:pPr>
    </w:p>
    <w:p w14:paraId="32027101" w14:textId="2FC370E3" w:rsidR="00AD4C97" w:rsidRPr="00B91E31" w:rsidRDefault="00AD4C97" w:rsidP="00CE3C2B">
      <w:pPr>
        <w:jc w:val="both"/>
        <w:rPr>
          <w:rFonts w:ascii="Garamond" w:hAnsi="Garamond"/>
          <w:color w:val="FF9900"/>
        </w:rPr>
      </w:pPr>
      <w:r w:rsidRPr="00D14046">
        <w:rPr>
          <w:rFonts w:ascii="Garamond" w:hAnsi="Garamond" w:cstheme="minorHAnsi"/>
        </w:rPr>
        <w:lastRenderedPageBreak/>
        <w:t>The ZECV market may benefit from the efficiency technologies that have been developed for diesel- and gasoline-powered vehicles. The supply chains that produce components for hybrid-electric engines and idle reduction technologies may apply and support ZECVs. Manufacturers (and ultimately, fleets) benefit not only from production improvements specific to the ZECV market but to the vehicle market broadly. Efficiency standards in nations across the world will support the reduced costs to build ZECVs through lower shared component costs.</w:t>
      </w:r>
    </w:p>
    <w:p w14:paraId="55D715FA" w14:textId="77777777" w:rsidR="00AD4C97" w:rsidRPr="00B91E31" w:rsidRDefault="00AD4C97" w:rsidP="00D66C05">
      <w:pPr>
        <w:pStyle w:val="Heading2"/>
      </w:pPr>
      <w:bookmarkStart w:id="31" w:name="_Toc53065369"/>
      <w:r w:rsidRPr="00B91E31">
        <w:t>Process Improvements</w:t>
      </w:r>
      <w:bookmarkEnd w:id="31"/>
    </w:p>
    <w:p w14:paraId="37730A16" w14:textId="2C229294" w:rsidR="00AD4C97" w:rsidRPr="00B91E31" w:rsidRDefault="00AD4C97" w:rsidP="00CE3C2B">
      <w:pPr>
        <w:jc w:val="both"/>
        <w:rPr>
          <w:rFonts w:ascii="Garamond" w:hAnsi="Garamond"/>
        </w:rPr>
      </w:pPr>
      <w:r w:rsidRPr="00B91E31">
        <w:rPr>
          <w:rFonts w:ascii="Garamond" w:hAnsi="Garamond"/>
        </w:rPr>
        <w:t xml:space="preserve">By concentrating component production and servicing in </w:t>
      </w:r>
      <w:r w:rsidR="00961D62">
        <w:rPr>
          <w:rFonts w:ascii="Garamond" w:hAnsi="Garamond"/>
        </w:rPr>
        <w:t>regions</w:t>
      </w:r>
      <w:r w:rsidR="00961D62" w:rsidRPr="00B91E31">
        <w:rPr>
          <w:rFonts w:ascii="Garamond" w:hAnsi="Garamond"/>
        </w:rPr>
        <w:t xml:space="preserve"> </w:t>
      </w:r>
      <w:r w:rsidRPr="00B91E31">
        <w:rPr>
          <w:rFonts w:ascii="Garamond" w:hAnsi="Garamond"/>
        </w:rPr>
        <w:t>that follow the beachhead model, vehicle manufacturers and dealers can streamline their processes, generate consumer confidence, and improve the total cost of ownership for fleets. Concentrating production and deployment in beachhead regions may yield the following process improvements:</w:t>
      </w:r>
    </w:p>
    <w:p w14:paraId="5356C7E8" w14:textId="22F84483" w:rsidR="00AD4C97" w:rsidRPr="00B91E31" w:rsidRDefault="00AD4C97" w:rsidP="00CE3C2B">
      <w:pPr>
        <w:pStyle w:val="ListParagraph"/>
        <w:numPr>
          <w:ilvl w:val="0"/>
          <w:numId w:val="6"/>
        </w:numPr>
        <w:jc w:val="both"/>
        <w:rPr>
          <w:rFonts w:ascii="Garamond" w:hAnsi="Garamond" w:cs="Arial"/>
        </w:rPr>
      </w:pPr>
      <w:r w:rsidRPr="00B91E31">
        <w:rPr>
          <w:rFonts w:ascii="Garamond" w:hAnsi="Garamond" w:cs="Arial"/>
          <w:b/>
          <w:bCs/>
        </w:rPr>
        <w:t>Production Expertise</w:t>
      </w:r>
      <w:r w:rsidRPr="00B91E31">
        <w:rPr>
          <w:rFonts w:ascii="Garamond" w:hAnsi="Garamond" w:cs="Arial"/>
        </w:rPr>
        <w:t>: Knowledge of local regulations and needs may help companies find inroads and innovate to new market opportunities. A New York City regulation, for example, requires school buses to not exceed 102 inches, which is narrower than a typical Type C or D school bus</w:t>
      </w:r>
      <w:r w:rsidR="008462C0">
        <w:rPr>
          <w:rFonts w:ascii="Garamond" w:hAnsi="Garamond" w:cs="Arial"/>
        </w:rPr>
        <w:t xml:space="preserve"> (NYC</w:t>
      </w:r>
      <w:r w:rsidR="00114D61">
        <w:rPr>
          <w:rFonts w:ascii="Garamond" w:hAnsi="Garamond" w:cs="Arial"/>
        </w:rPr>
        <w:t xml:space="preserve"> </w:t>
      </w:r>
      <w:r w:rsidR="008462C0">
        <w:rPr>
          <w:rFonts w:ascii="Garamond" w:hAnsi="Garamond" w:cs="Arial"/>
        </w:rPr>
        <w:t>DOT</w:t>
      </w:r>
      <w:r w:rsidR="00114D61">
        <w:rPr>
          <w:rFonts w:ascii="Garamond" w:hAnsi="Garamond" w:cs="Arial"/>
        </w:rPr>
        <w:t>, 2020)</w:t>
      </w:r>
      <w:r w:rsidRPr="00B91E31">
        <w:rPr>
          <w:rFonts w:ascii="Garamond" w:hAnsi="Garamond" w:cs="Arial"/>
        </w:rPr>
        <w:t>. Vehicle manufacturers active in the New York City market with local knowledge of vehicle requirements have an advantage because they can tailor their products for specific fleets, and they also develop expertise in modifying and adapting their technologies. Similarly, vehicle modifiers and upfitters that alter existing chassis may develop a relationship with a regional client that increases the efficiency of producing a custom-built ZECV.</w:t>
      </w:r>
    </w:p>
    <w:p w14:paraId="433FE7EC" w14:textId="7A5BE8C6" w:rsidR="00AD4C97" w:rsidRPr="00B91E31" w:rsidRDefault="00AD4C97" w:rsidP="00CE3C2B">
      <w:pPr>
        <w:pStyle w:val="ListParagraph"/>
        <w:numPr>
          <w:ilvl w:val="0"/>
          <w:numId w:val="6"/>
        </w:numPr>
        <w:jc w:val="both"/>
        <w:rPr>
          <w:rFonts w:ascii="Garamond" w:hAnsi="Garamond" w:cs="Arial"/>
        </w:rPr>
      </w:pPr>
      <w:r w:rsidRPr="00B91E31">
        <w:rPr>
          <w:rFonts w:ascii="Garamond" w:hAnsi="Garamond" w:cs="Arial"/>
          <w:b/>
          <w:bCs/>
        </w:rPr>
        <w:t>Enhanced Customer Service</w:t>
      </w:r>
      <w:r w:rsidRPr="00B91E31">
        <w:rPr>
          <w:rFonts w:ascii="Garamond" w:hAnsi="Garamond" w:cs="Arial"/>
        </w:rPr>
        <w:t>: Many of the ZECVs on the roads across the globe are all-electric transit buses. These buses may have been built by traditional manufacturers that have added electrified variants of their products (e.g. New Flyer) or by companies that are newer to widespread commercial vehicle operation and only produce zero-emission products (e.g. Proterra). In either case, the companies would be either new to servicing zero-emission components or to providing vehicle services</w:t>
      </w:r>
      <w:r>
        <w:rPr>
          <w:rFonts w:ascii="Garamond" w:hAnsi="Garamond" w:cs="Arial"/>
        </w:rPr>
        <w:t xml:space="preserve"> </w:t>
      </w:r>
      <w:r w:rsidRPr="00B91E31">
        <w:rPr>
          <w:rFonts w:ascii="Garamond" w:hAnsi="Garamond" w:cs="Arial"/>
        </w:rPr>
        <w:t xml:space="preserve">that </w:t>
      </w:r>
      <w:r>
        <w:rPr>
          <w:rFonts w:ascii="Garamond" w:hAnsi="Garamond" w:cs="Arial"/>
        </w:rPr>
        <w:t>are</w:t>
      </w:r>
      <w:r w:rsidRPr="00B91E31">
        <w:rPr>
          <w:rFonts w:ascii="Garamond" w:hAnsi="Garamond" w:cs="Arial"/>
        </w:rPr>
        <w:t xml:space="preserve"> unrelated to electric drive</w:t>
      </w:r>
      <w:r>
        <w:rPr>
          <w:rFonts w:ascii="Garamond" w:hAnsi="Garamond" w:cs="Arial"/>
        </w:rPr>
        <w:t>trains</w:t>
      </w:r>
      <w:r w:rsidRPr="00B91E31">
        <w:rPr>
          <w:rFonts w:ascii="Garamond" w:hAnsi="Garamond" w:cs="Arial"/>
        </w:rPr>
        <w:t xml:space="preserve">. The beachhead model allows companies to improve their customer service in concentrated areas with workforces hired for these specific tasks than can respond immediately. </w:t>
      </w:r>
    </w:p>
    <w:p w14:paraId="05B11E02" w14:textId="6415DB78" w:rsidR="00AD4C97" w:rsidRPr="00B91E31" w:rsidRDefault="00AD4C97" w:rsidP="00CE3C2B">
      <w:pPr>
        <w:pStyle w:val="ListParagraph"/>
        <w:numPr>
          <w:ilvl w:val="0"/>
          <w:numId w:val="6"/>
        </w:numPr>
        <w:jc w:val="both"/>
        <w:rPr>
          <w:rFonts w:ascii="Garamond" w:hAnsi="Garamond" w:cs="Arial"/>
        </w:rPr>
      </w:pPr>
      <w:r w:rsidRPr="00B91E31">
        <w:rPr>
          <w:rFonts w:ascii="Garamond" w:hAnsi="Garamond" w:cs="Arial"/>
          <w:b/>
          <w:bCs/>
        </w:rPr>
        <w:t>Workforce Training</w:t>
      </w:r>
      <w:r w:rsidRPr="00B91E31">
        <w:rPr>
          <w:rFonts w:ascii="Garamond" w:hAnsi="Garamond" w:cs="Arial"/>
        </w:rPr>
        <w:t xml:space="preserve">: Fleets that operate traditionally fueled vehicles will require training on how to charge, maintain, and safely operate ZECVs. As </w:t>
      </w:r>
      <w:r>
        <w:rPr>
          <w:rFonts w:ascii="Garamond" w:hAnsi="Garamond" w:cs="Arial"/>
        </w:rPr>
        <w:t>leading</w:t>
      </w:r>
      <w:r w:rsidRPr="00B91E31">
        <w:rPr>
          <w:rFonts w:ascii="Garamond" w:hAnsi="Garamond" w:cs="Arial"/>
        </w:rPr>
        <w:t xml:space="preserve"> ZECV </w:t>
      </w:r>
      <w:r>
        <w:rPr>
          <w:rFonts w:ascii="Garamond" w:hAnsi="Garamond" w:cs="Arial"/>
        </w:rPr>
        <w:t>knowledge centers</w:t>
      </w:r>
      <w:r w:rsidRPr="00B91E31">
        <w:rPr>
          <w:rFonts w:ascii="Garamond" w:hAnsi="Garamond" w:cs="Arial"/>
        </w:rPr>
        <w:t>, manufacturers may be called upon to provide training for fleet operators. Providing training within a concentrated beachhead market will allow manufacturers or fleets to consolidate the workforce to train and to limit the amount of travel and training required.</w:t>
      </w:r>
    </w:p>
    <w:p w14:paraId="554AE13A" w14:textId="6670163B" w:rsidR="00AD4C97" w:rsidRPr="00B91E31" w:rsidRDefault="00AD4C97" w:rsidP="00CE3C2B">
      <w:pPr>
        <w:pStyle w:val="ListParagraph"/>
        <w:numPr>
          <w:ilvl w:val="0"/>
          <w:numId w:val="6"/>
        </w:numPr>
        <w:jc w:val="both"/>
        <w:rPr>
          <w:rFonts w:ascii="Garamond" w:hAnsi="Garamond"/>
        </w:rPr>
      </w:pPr>
      <w:r w:rsidRPr="00B91E31">
        <w:rPr>
          <w:rFonts w:ascii="Garamond" w:hAnsi="Garamond" w:cs="Arial"/>
          <w:b/>
          <w:bCs/>
        </w:rPr>
        <w:t>Infrastructure Improvements</w:t>
      </w:r>
      <w:r w:rsidRPr="00B91E31">
        <w:rPr>
          <w:rFonts w:ascii="Garamond" w:hAnsi="Garamond" w:cs="Arial"/>
        </w:rPr>
        <w:t xml:space="preserve">: </w:t>
      </w:r>
      <w:bookmarkStart w:id="32" w:name="_Hlk30153227"/>
      <w:r w:rsidRPr="00B91E31">
        <w:rPr>
          <w:rFonts w:ascii="Garamond" w:hAnsi="Garamond" w:cs="Arial"/>
        </w:rPr>
        <w:t>ZECVs often require extensive infrastructure investments to operate. A single transit bus charging at a depot can draw from 60 – 100 kW, or from 300 – 450 kW if charging at a fast charging station or on-route overhead charger.</w:t>
      </w:r>
      <w:r w:rsidR="00B236DD">
        <w:rPr>
          <w:rStyle w:val="FootnoteReference"/>
          <w:rFonts w:ascii="Garamond" w:hAnsi="Garamond" w:cs="Arial"/>
        </w:rPr>
        <w:footnoteReference w:id="14"/>
      </w:r>
      <w:r w:rsidRPr="00B91E31">
        <w:rPr>
          <w:rFonts w:ascii="Garamond" w:hAnsi="Garamond" w:cs="Arial"/>
        </w:rPr>
        <w:t xml:space="preserve"> A single, large transit bus fleet simultaneously charging at the lower end of DC fast charging can exceed the power demand of a very large commercial building</w:t>
      </w:r>
      <w:r w:rsidR="005413D5">
        <w:rPr>
          <w:rFonts w:ascii="Garamond" w:hAnsi="Garamond" w:cs="Arial"/>
        </w:rPr>
        <w:t xml:space="preserve"> (CALSTART</w:t>
      </w:r>
      <w:r w:rsidR="00EA2449">
        <w:rPr>
          <w:rFonts w:ascii="Garamond" w:hAnsi="Garamond" w:cs="Arial"/>
        </w:rPr>
        <w:t xml:space="preserve">, </w:t>
      </w:r>
      <w:r w:rsidR="00570959">
        <w:rPr>
          <w:rFonts w:ascii="Garamond" w:hAnsi="Garamond" w:cs="Arial"/>
        </w:rPr>
        <w:t>2015</w:t>
      </w:r>
      <w:r w:rsidR="00EA2449">
        <w:rPr>
          <w:rFonts w:ascii="Garamond" w:hAnsi="Garamond" w:cs="Arial"/>
        </w:rPr>
        <w:t>)</w:t>
      </w:r>
      <w:r w:rsidRPr="00B91E31">
        <w:rPr>
          <w:rFonts w:ascii="Garamond" w:hAnsi="Garamond" w:cs="Arial"/>
        </w:rPr>
        <w:t xml:space="preserve">. </w:t>
      </w:r>
      <w:bookmarkStart w:id="33" w:name="_Hlk22029886"/>
      <w:r w:rsidRPr="00B91E31">
        <w:rPr>
          <w:rFonts w:ascii="Garamond" w:hAnsi="Garamond" w:cs="Arial"/>
        </w:rPr>
        <w:t xml:space="preserve">Charging ZECVs will require a new paradigm of managed charging, thoughtfully and cost-effectively siting and upgrading infrastructure and utility interconnections, ensuring interoperability between stations to maximize the efficiency of infrastructure investments, and improving infrastructure </w:t>
      </w:r>
      <w:r w:rsidRPr="00B91E31">
        <w:rPr>
          <w:rFonts w:ascii="Garamond" w:hAnsi="Garamond" w:cs="Arial"/>
        </w:rPr>
        <w:lastRenderedPageBreak/>
        <w:t>design to meet future demands. Being mindful to right-size infrastructure needed for ZECV fleets will economize on upfront cost (such as reduced electrical infrastructure upgrade costs from additional distribution facilities) as well as on operating cost (from lower demand charges incurred by charging that is controlled to reduce coincidence across vehicles and with system peaks). Even in the case of fuel cell electric vehicles, installing hydrogen stations will likely require navigating unique regulations and technological barriers to deployment</w:t>
      </w:r>
      <w:r w:rsidR="00DA2E5E">
        <w:rPr>
          <w:rFonts w:ascii="Garamond" w:hAnsi="Garamond" w:cs="Arial"/>
        </w:rPr>
        <w:t xml:space="preserve"> </w:t>
      </w:r>
      <w:r w:rsidR="00DA2E5E">
        <w:rPr>
          <w:rFonts w:ascii="Garamond" w:hAnsi="Garamond"/>
        </w:rPr>
        <w:t>(NYSERDA, 2006).</w:t>
      </w:r>
      <w:r w:rsidRPr="00B91E31">
        <w:rPr>
          <w:rFonts w:ascii="Garamond" w:hAnsi="Garamond" w:cs="Arial"/>
        </w:rPr>
        <w:t xml:space="preserve"> Beachhead markets enable manufacturers and fleets to revise and refine these infrastructure challenges as they expand their ZECV operations. </w:t>
      </w:r>
      <w:bookmarkEnd w:id="32"/>
      <w:bookmarkEnd w:id="33"/>
    </w:p>
    <w:p w14:paraId="29C90A87" w14:textId="77777777" w:rsidR="00AD4C97" w:rsidRPr="00B91E31" w:rsidRDefault="00AD4C97" w:rsidP="00CE3C2B">
      <w:pPr>
        <w:jc w:val="both"/>
        <w:rPr>
          <w:rFonts w:ascii="Garamond" w:hAnsi="Garamond" w:cstheme="minorHAnsi"/>
        </w:rPr>
      </w:pPr>
    </w:p>
    <w:p w14:paraId="56C19304" w14:textId="3EBC0EAB" w:rsidR="00AD4C97" w:rsidRDefault="00AD4C97" w:rsidP="00CE3C2B">
      <w:pPr>
        <w:jc w:val="both"/>
        <w:rPr>
          <w:color w:val="FF9900"/>
        </w:rPr>
      </w:pPr>
      <w:r w:rsidRPr="00B91E31">
        <w:rPr>
          <w:rFonts w:ascii="Garamond" w:hAnsi="Garamond" w:cstheme="minorBidi"/>
        </w:rPr>
        <w:t>Combining the overall manufacturing and process improvements with efficient component transfers within a supply chain will greatly reduce the total cost of production and support the rapid growth of new vehicle applications and markets. These techniques and improvements will demonstrate the maturity and suitability of zero-emission vehicles to the commercial vehicle space and will prime industry to take the next steps to innovate and expand beyond initial markets of first success.</w:t>
      </w:r>
    </w:p>
    <w:p w14:paraId="3957280B" w14:textId="77777777" w:rsidR="00F12A16" w:rsidRDefault="00F12A16" w:rsidP="00CE3C2B">
      <w:pPr>
        <w:spacing w:line="276" w:lineRule="auto"/>
        <w:jc w:val="both"/>
        <w:rPr>
          <w:sz w:val="40"/>
          <w:szCs w:val="40"/>
        </w:rPr>
      </w:pPr>
      <w:bookmarkStart w:id="34" w:name="_srhwtindl6ly" w:colFirst="0" w:colLast="0"/>
      <w:bookmarkEnd w:id="34"/>
      <w:r>
        <w:br w:type="page"/>
      </w:r>
    </w:p>
    <w:p w14:paraId="348E5830" w14:textId="262FB91D" w:rsidR="00AD4C97" w:rsidRDefault="00AD4C97">
      <w:pPr>
        <w:pStyle w:val="Heading1"/>
        <w:keepNext w:val="0"/>
        <w:keepLines w:val="0"/>
        <w:spacing w:after="80"/>
      </w:pPr>
      <w:bookmarkStart w:id="35" w:name="_Toc53065370"/>
      <w:r>
        <w:lastRenderedPageBreak/>
        <w:t xml:space="preserve">Chapter 3. Supportive </w:t>
      </w:r>
      <w:r w:rsidR="00EF5CD3">
        <w:t xml:space="preserve">Policy </w:t>
      </w:r>
      <w:r>
        <w:t>Ecosystems</w:t>
      </w:r>
      <w:bookmarkEnd w:id="35"/>
      <w:r>
        <w:t xml:space="preserve"> </w:t>
      </w:r>
    </w:p>
    <w:p w14:paraId="53D9F9D6" w14:textId="5A4E80E0" w:rsidR="00AD4C97" w:rsidRPr="00B91E31" w:rsidRDefault="00AD4C97" w:rsidP="00CE3C2B">
      <w:pPr>
        <w:spacing w:after="80"/>
        <w:jc w:val="both"/>
        <w:rPr>
          <w:rFonts w:ascii="Garamond" w:hAnsi="Garamond"/>
        </w:rPr>
      </w:pPr>
      <w:r w:rsidRPr="00B91E31">
        <w:rPr>
          <w:rFonts w:ascii="Garamond" w:hAnsi="Garamond"/>
        </w:rPr>
        <w:t xml:space="preserve">Following beachhead pathways toward successful ZECV deployments, first-mover industrialized regions with significant commercial vehicle </w:t>
      </w:r>
      <w:r w:rsidR="00592001">
        <w:rPr>
          <w:rFonts w:ascii="Garamond" w:hAnsi="Garamond"/>
        </w:rPr>
        <w:t>markets</w:t>
      </w:r>
      <w:r w:rsidR="00592001" w:rsidRPr="00B91E31">
        <w:rPr>
          <w:rFonts w:ascii="Garamond" w:hAnsi="Garamond"/>
        </w:rPr>
        <w:t xml:space="preserve"> </w:t>
      </w:r>
      <w:r w:rsidRPr="00B91E31">
        <w:rPr>
          <w:rFonts w:ascii="Garamond" w:hAnsi="Garamond"/>
        </w:rPr>
        <w:t>may serve as bellwethers for subsequent regional success. These vital first-mover regions include China, the European Union, the United States led by California, Canada, Japan, and South America. If vehicles in beachhead applications are commercially viable in these beachhead regions, the global ZECV market will benefit from zero-emission vehicle technology reach</w:t>
      </w:r>
      <w:r w:rsidR="008020CE">
        <w:rPr>
          <w:rFonts w:ascii="Garamond" w:hAnsi="Garamond"/>
        </w:rPr>
        <w:t>ing</w:t>
      </w:r>
      <w:r w:rsidRPr="00B91E31">
        <w:rPr>
          <w:rFonts w:ascii="Garamond" w:hAnsi="Garamond"/>
        </w:rPr>
        <w:t xml:space="preserve"> economies of scale and cost-competitiveness. These regional beachhead markets can foster advanced, clean technologies in a developing marketplace and will provide transformative examples for the next wave of cities, states, or regions looking to advance their clean vehicle economies.</w:t>
      </w:r>
    </w:p>
    <w:p w14:paraId="4E52FFBD" w14:textId="77777777" w:rsidR="00E8408A" w:rsidRDefault="00E8408A" w:rsidP="00DC5FEF">
      <w:pPr>
        <w:spacing w:after="80"/>
        <w:jc w:val="both"/>
        <w:rPr>
          <w:rFonts w:ascii="Garamond" w:hAnsi="Garamond"/>
        </w:rPr>
      </w:pPr>
    </w:p>
    <w:p w14:paraId="516C56E8" w14:textId="24382A86" w:rsidR="00E8408A" w:rsidRPr="00CE3C2B" w:rsidRDefault="00E8408A" w:rsidP="00CE3C2B">
      <w:pPr>
        <w:pStyle w:val="Heading2"/>
        <w:spacing w:after="80"/>
      </w:pPr>
      <w:bookmarkStart w:id="36" w:name="_Toc53065371"/>
      <w:r>
        <w:t>Conditions for Successful Beachhead Applications</w:t>
      </w:r>
      <w:bookmarkEnd w:id="36"/>
    </w:p>
    <w:p w14:paraId="30EFF9C8" w14:textId="2BF0C219" w:rsidR="00AD4C97" w:rsidRPr="00B91E31" w:rsidRDefault="00AD4C97" w:rsidP="00CE3C2B">
      <w:pPr>
        <w:spacing w:after="80"/>
        <w:jc w:val="both"/>
        <w:rPr>
          <w:rFonts w:ascii="Garamond" w:hAnsi="Garamond"/>
        </w:rPr>
      </w:pPr>
      <w:r w:rsidRPr="00B91E31">
        <w:rPr>
          <w:rFonts w:ascii="Garamond" w:hAnsi="Garamond"/>
        </w:rPr>
        <w:t>Success in beachhead applications depends on whether ZECVs can overcome key barriers, including higher upfront costs and insufficient model availability, infrastructure, fleet awareness, or user demand. The following conditions are reliable indicators that a beachhead application will be successful:</w:t>
      </w:r>
    </w:p>
    <w:p w14:paraId="014E36DE" w14:textId="77777777" w:rsidR="00AD4C97" w:rsidRPr="00B91E31" w:rsidRDefault="00AD4C97" w:rsidP="00CE3C2B">
      <w:pPr>
        <w:spacing w:after="80"/>
        <w:jc w:val="both"/>
        <w:rPr>
          <w:rFonts w:ascii="Garamond" w:hAnsi="Garamond"/>
        </w:rPr>
      </w:pPr>
    </w:p>
    <w:p w14:paraId="309B8185" w14:textId="70592E06" w:rsidR="00AD4C97" w:rsidRPr="00B91E31" w:rsidRDefault="00AD4C97" w:rsidP="00CE3C2B">
      <w:pPr>
        <w:numPr>
          <w:ilvl w:val="0"/>
          <w:numId w:val="1"/>
        </w:numPr>
        <w:jc w:val="both"/>
        <w:rPr>
          <w:rFonts w:ascii="Garamond" w:hAnsi="Garamond"/>
        </w:rPr>
      </w:pPr>
      <w:r w:rsidRPr="00B91E31">
        <w:rPr>
          <w:rFonts w:ascii="Garamond" w:hAnsi="Garamond"/>
          <w:b/>
          <w:bCs/>
          <w:u w:val="single"/>
        </w:rPr>
        <w:t>Models are available:</w:t>
      </w:r>
      <w:r w:rsidRPr="00B91E31">
        <w:rPr>
          <w:rFonts w:ascii="Garamond" w:hAnsi="Garamond"/>
        </w:rPr>
        <w:t xml:space="preserve"> Vehicle models</w:t>
      </w:r>
      <w:r w:rsidR="00BD444D">
        <w:rPr>
          <w:rFonts w:ascii="Garamond" w:hAnsi="Garamond"/>
        </w:rPr>
        <w:t xml:space="preserve"> in </w:t>
      </w:r>
      <w:r w:rsidRPr="00B91E31">
        <w:rPr>
          <w:rFonts w:ascii="Garamond" w:hAnsi="Garamond"/>
        </w:rPr>
        <w:t xml:space="preserve">beachhead </w:t>
      </w:r>
      <w:r w:rsidR="0091675F">
        <w:rPr>
          <w:rFonts w:ascii="Garamond" w:hAnsi="Garamond"/>
        </w:rPr>
        <w:t>segments</w:t>
      </w:r>
      <w:r w:rsidR="0091675F" w:rsidRPr="00B91E31">
        <w:rPr>
          <w:rFonts w:ascii="Garamond" w:hAnsi="Garamond"/>
        </w:rPr>
        <w:t xml:space="preserve"> </w:t>
      </w:r>
      <w:r w:rsidRPr="00B91E31">
        <w:rPr>
          <w:rFonts w:ascii="Garamond" w:hAnsi="Garamond"/>
        </w:rPr>
        <w:t xml:space="preserve">are a vital and unmistakable first step to achieving initial ZECV adoption. </w:t>
      </w:r>
      <w:r w:rsidR="008F1202">
        <w:rPr>
          <w:rFonts w:ascii="Garamond" w:hAnsi="Garamond"/>
        </w:rPr>
        <w:t xml:space="preserve">In addition, </w:t>
      </w:r>
      <w:r w:rsidR="00C7175A">
        <w:rPr>
          <w:rFonts w:ascii="Garamond" w:hAnsi="Garamond"/>
        </w:rPr>
        <w:t>model</w:t>
      </w:r>
      <w:r w:rsidRPr="00B91E31">
        <w:rPr>
          <w:rFonts w:ascii="Garamond" w:hAnsi="Garamond"/>
        </w:rPr>
        <w:t xml:space="preserve"> diversity creates a more competitive marketplace and allows a greater number of fleets to participate in the new ZECV market. </w:t>
      </w:r>
      <w:r w:rsidR="00C7175A">
        <w:rPr>
          <w:rFonts w:ascii="Garamond" w:hAnsi="Garamond"/>
        </w:rPr>
        <w:t>In the light-duty vehicle sector</w:t>
      </w:r>
      <w:r w:rsidR="00546771">
        <w:rPr>
          <w:rFonts w:ascii="Garamond" w:hAnsi="Garamond"/>
        </w:rPr>
        <w:t xml:space="preserve">, greater model availability was found to be </w:t>
      </w:r>
      <w:r w:rsidRPr="00B91E31">
        <w:rPr>
          <w:rFonts w:ascii="Garamond" w:hAnsi="Garamond"/>
        </w:rPr>
        <w:t xml:space="preserve">critical </w:t>
      </w:r>
      <w:r w:rsidR="00BE6965">
        <w:rPr>
          <w:rFonts w:ascii="Garamond" w:hAnsi="Garamond"/>
        </w:rPr>
        <w:t xml:space="preserve">for </w:t>
      </w:r>
      <w:r w:rsidRPr="00B91E31">
        <w:rPr>
          <w:rFonts w:ascii="Garamond" w:hAnsi="Garamond"/>
        </w:rPr>
        <w:t>market growth</w:t>
      </w:r>
      <w:r w:rsidR="00DA2E5E">
        <w:rPr>
          <w:rFonts w:ascii="Garamond" w:hAnsi="Garamond"/>
        </w:rPr>
        <w:t xml:space="preserve"> (ICCT, 2019). </w:t>
      </w:r>
      <w:r w:rsidRPr="00B91E31">
        <w:rPr>
          <w:rFonts w:ascii="Garamond" w:hAnsi="Garamond"/>
        </w:rPr>
        <w:t xml:space="preserve"> </w:t>
      </w:r>
    </w:p>
    <w:p w14:paraId="0A0F5792" w14:textId="6570525F" w:rsidR="00AD4C97" w:rsidRPr="00B91E31" w:rsidRDefault="00AD4C97" w:rsidP="00CE3C2B">
      <w:pPr>
        <w:numPr>
          <w:ilvl w:val="0"/>
          <w:numId w:val="1"/>
        </w:numPr>
        <w:jc w:val="both"/>
        <w:rPr>
          <w:rFonts w:ascii="Garamond" w:hAnsi="Garamond"/>
        </w:rPr>
      </w:pPr>
      <w:r w:rsidRPr="00B91E31">
        <w:rPr>
          <w:rFonts w:ascii="Garamond" w:hAnsi="Garamond"/>
          <w:b/>
          <w:bCs/>
          <w:u w:val="single"/>
        </w:rPr>
        <w:t>Infrastructure is installed or available:</w:t>
      </w:r>
      <w:r w:rsidRPr="00B91E31">
        <w:rPr>
          <w:rFonts w:ascii="Garamond" w:hAnsi="Garamond"/>
        </w:rPr>
        <w:t xml:space="preserve"> Charging or fueling must be affordable and available in the form most fitting for a beachhead application (i.e. depot, on-route, or opportunity). Fleets must be confident that they will be able to reliably complet</w:t>
      </w:r>
      <w:r w:rsidR="00FF211D">
        <w:rPr>
          <w:rFonts w:ascii="Garamond" w:hAnsi="Garamond"/>
        </w:rPr>
        <w:t>e</w:t>
      </w:r>
      <w:r w:rsidRPr="00B91E31">
        <w:rPr>
          <w:rFonts w:ascii="Garamond" w:hAnsi="Garamond"/>
        </w:rPr>
        <w:t xml:space="preserve"> their routes. The Netherlands has been a leading market for light-duty and medium- and heavy-duty electric vehicles, owing in large part to national efforts to make charging infrastructure widely available and interoperable, allowing any vehicle to charge at any station and improving the business case of station operators and encouraging investment in infrastructure</w:t>
      </w:r>
      <w:r w:rsidR="00DA2E5E">
        <w:rPr>
          <w:rFonts w:ascii="Garamond" w:hAnsi="Garamond"/>
        </w:rPr>
        <w:t xml:space="preserve"> (McKinsey, 2014).</w:t>
      </w:r>
      <w:r w:rsidRPr="00B91E31">
        <w:rPr>
          <w:rFonts w:ascii="Garamond" w:hAnsi="Garamond"/>
        </w:rPr>
        <w:t xml:space="preserve"> The state of California requires electric utilities to consider public transportation infrastructure investments, expanding infrastructure availability</w:t>
      </w:r>
      <w:r w:rsidR="009D12CD">
        <w:rPr>
          <w:rFonts w:ascii="Garamond" w:hAnsi="Garamond"/>
        </w:rPr>
        <w:t xml:space="preserve"> (C</w:t>
      </w:r>
      <w:r w:rsidR="00347953">
        <w:rPr>
          <w:rFonts w:ascii="Garamond" w:hAnsi="Garamond"/>
        </w:rPr>
        <w:t>EC</w:t>
      </w:r>
      <w:r w:rsidR="009D12CD">
        <w:rPr>
          <w:rFonts w:ascii="Garamond" w:hAnsi="Garamond"/>
        </w:rPr>
        <w:t>, 2020).</w:t>
      </w:r>
    </w:p>
    <w:p w14:paraId="4BA06FAE" w14:textId="19908824" w:rsidR="00AD4C97" w:rsidRPr="00B91E31" w:rsidRDefault="00AD4C97" w:rsidP="00CE3C2B">
      <w:pPr>
        <w:numPr>
          <w:ilvl w:val="0"/>
          <w:numId w:val="1"/>
        </w:numPr>
        <w:jc w:val="both"/>
        <w:rPr>
          <w:rFonts w:ascii="Garamond" w:hAnsi="Garamond"/>
        </w:rPr>
      </w:pPr>
      <w:r w:rsidRPr="00B91E31">
        <w:rPr>
          <w:rFonts w:ascii="Garamond" w:hAnsi="Garamond"/>
          <w:b/>
          <w:bCs/>
          <w:u w:val="single"/>
        </w:rPr>
        <w:t>Vehicles achieve cost parity:</w:t>
      </w:r>
      <w:r w:rsidRPr="00B91E31">
        <w:rPr>
          <w:rFonts w:ascii="Garamond" w:hAnsi="Garamond"/>
        </w:rPr>
        <w:t xml:space="preserve"> In a competitive market, ZECV fleet operators cannot </w:t>
      </w:r>
      <w:r w:rsidR="00103D13">
        <w:rPr>
          <w:rFonts w:ascii="Garamond" w:hAnsi="Garamond"/>
        </w:rPr>
        <w:t>compromise</w:t>
      </w:r>
      <w:r w:rsidRPr="00B91E31">
        <w:rPr>
          <w:rFonts w:ascii="Garamond" w:hAnsi="Garamond"/>
        </w:rPr>
        <w:t xml:space="preserve"> profits for the sake of operating cleaner vehicles. Improvements in manufacturing and servicing vehicles, combined with incentives for ZECV ownership and operation or penalties for diesel-powered vehicle ownership and operation, will make the total cost of ZECV ownership equal or less than a diesel-powered equivalent vehicle. Removing purchase cost as a barrier is one of the most critical steps in promoting alternative fuel vehicles, as has been demonstrated in California through </w:t>
      </w:r>
      <w:r w:rsidR="00FB2C09">
        <w:rPr>
          <w:rFonts w:ascii="Garamond" w:hAnsi="Garamond"/>
        </w:rPr>
        <w:t>the Hyb</w:t>
      </w:r>
      <w:r w:rsidR="00DA2C9F">
        <w:rPr>
          <w:rFonts w:ascii="Garamond" w:hAnsi="Garamond"/>
        </w:rPr>
        <w:t>rid and Zero-Emission Truck and Bus Voucher Incentive Program (</w:t>
      </w:r>
      <w:r w:rsidRPr="00B91E31">
        <w:rPr>
          <w:rFonts w:ascii="Garamond" w:hAnsi="Garamond"/>
        </w:rPr>
        <w:t>HVIP</w:t>
      </w:r>
      <w:r w:rsidR="00DA2C9F">
        <w:rPr>
          <w:rFonts w:ascii="Garamond" w:hAnsi="Garamond"/>
        </w:rPr>
        <w:t>)</w:t>
      </w:r>
      <w:r w:rsidRPr="00B91E31">
        <w:rPr>
          <w:rFonts w:ascii="Garamond" w:hAnsi="Garamond"/>
        </w:rPr>
        <w:t>, which has made the state a leading market for hybrid, natural gas, and all-electric commercial vehicles</w:t>
      </w:r>
      <w:r w:rsidR="009D12CD">
        <w:rPr>
          <w:rFonts w:ascii="Garamond" w:hAnsi="Garamond"/>
        </w:rPr>
        <w:t xml:space="preserve"> (CALSTART, 2019).</w:t>
      </w:r>
    </w:p>
    <w:p w14:paraId="32E97022" w14:textId="0FDD5E9C" w:rsidR="00AD4C97" w:rsidRPr="00B91E31" w:rsidRDefault="00AD4C97" w:rsidP="00CE3C2B">
      <w:pPr>
        <w:numPr>
          <w:ilvl w:val="0"/>
          <w:numId w:val="1"/>
        </w:numPr>
        <w:jc w:val="both"/>
        <w:rPr>
          <w:rFonts w:ascii="Garamond" w:hAnsi="Garamond"/>
        </w:rPr>
      </w:pPr>
      <w:r w:rsidRPr="00B91E31">
        <w:rPr>
          <w:rFonts w:ascii="Garamond" w:hAnsi="Garamond"/>
          <w:b/>
          <w:bCs/>
          <w:u w:val="single"/>
        </w:rPr>
        <w:t xml:space="preserve">Governments adopt enabling policies: </w:t>
      </w:r>
      <w:r w:rsidRPr="00B91E31">
        <w:rPr>
          <w:rFonts w:ascii="Garamond" w:hAnsi="Garamond"/>
        </w:rPr>
        <w:t xml:space="preserve">Diesel-powered vehicles will be difficult to initially displace due to their existing built infrastructure, the current low cost of the vehicles and of diesel fuel, fleet familiarity with the technology, and a lack of pricing mechanisms placed on carbon or air pollutants. To </w:t>
      </w:r>
      <w:r w:rsidR="0070495E">
        <w:rPr>
          <w:rFonts w:ascii="Garamond" w:hAnsi="Garamond"/>
        </w:rPr>
        <w:t>balance</w:t>
      </w:r>
      <w:r w:rsidRPr="00B91E31">
        <w:rPr>
          <w:rFonts w:ascii="Garamond" w:hAnsi="Garamond"/>
        </w:rPr>
        <w:t xml:space="preserve"> the equation, governments can support ZECV beachhead </w:t>
      </w:r>
      <w:r w:rsidRPr="00B91E31">
        <w:rPr>
          <w:rFonts w:ascii="Garamond" w:hAnsi="Garamond"/>
        </w:rPr>
        <w:lastRenderedPageBreak/>
        <w:t>applications by enacting supportive policies and actions that make operating ZECVs more attractive relative to diesel-powered vehicles (including making operating diesel-powered vehicles less attractive). Enabling policies may include financial incentives to improve the total cost of ownership or other actions that support ZECV adoption. Examples of such enabling policies include</w:t>
      </w:r>
      <w:r w:rsidR="00B325C7">
        <w:rPr>
          <w:rFonts w:ascii="Garamond" w:hAnsi="Garamond"/>
        </w:rPr>
        <w:t xml:space="preserve"> regulations </w:t>
      </w:r>
      <w:r w:rsidR="00E97A98">
        <w:rPr>
          <w:rFonts w:ascii="Garamond" w:hAnsi="Garamond"/>
        </w:rPr>
        <w:t>on manufacturer ZECV sales</w:t>
      </w:r>
      <w:r w:rsidR="00015A93">
        <w:rPr>
          <w:rFonts w:ascii="Garamond" w:hAnsi="Garamond"/>
        </w:rPr>
        <w:t>, clean fuel standards</w:t>
      </w:r>
      <w:r w:rsidR="003502E8">
        <w:rPr>
          <w:rFonts w:ascii="Garamond" w:hAnsi="Garamond"/>
        </w:rPr>
        <w:t xml:space="preserve"> that promote the use of zero-emission fuels</w:t>
      </w:r>
      <w:r w:rsidR="00015A93">
        <w:rPr>
          <w:rFonts w:ascii="Garamond" w:hAnsi="Garamond"/>
        </w:rPr>
        <w:t>, zero-emission zones</w:t>
      </w:r>
      <w:r w:rsidR="00050450">
        <w:rPr>
          <w:rFonts w:ascii="Garamond" w:hAnsi="Garamond"/>
        </w:rPr>
        <w:t xml:space="preserve"> in city centers</w:t>
      </w:r>
      <w:r w:rsidR="00015A93">
        <w:rPr>
          <w:rFonts w:ascii="Garamond" w:hAnsi="Garamond"/>
        </w:rPr>
        <w:t>, f</w:t>
      </w:r>
      <w:r w:rsidR="00050450">
        <w:rPr>
          <w:rFonts w:ascii="Garamond" w:hAnsi="Garamond"/>
        </w:rPr>
        <w:t>leet-friendly financial incentives for vehicle</w:t>
      </w:r>
      <w:r w:rsidR="003502E8">
        <w:rPr>
          <w:rFonts w:ascii="Garamond" w:hAnsi="Garamond"/>
        </w:rPr>
        <w:t xml:space="preserve"> purchases</w:t>
      </w:r>
      <w:r w:rsidR="00050450">
        <w:rPr>
          <w:rFonts w:ascii="Garamond" w:hAnsi="Garamond"/>
        </w:rPr>
        <w:t>, and others</w:t>
      </w:r>
      <w:r w:rsidR="003502E8">
        <w:rPr>
          <w:rFonts w:ascii="Garamond" w:hAnsi="Garamond"/>
        </w:rPr>
        <w:t xml:space="preserve"> (see “Enabling Policies” section for great detail</w:t>
      </w:r>
      <w:r w:rsidR="00050450">
        <w:rPr>
          <w:rFonts w:ascii="Garamond" w:hAnsi="Garamond"/>
        </w:rPr>
        <w:t xml:space="preserve">. </w:t>
      </w:r>
    </w:p>
    <w:p w14:paraId="3D3072A2" w14:textId="50ECC347" w:rsidR="00AD4C97" w:rsidRPr="00B91E31" w:rsidRDefault="00AD4C97" w:rsidP="00CE3C2B">
      <w:pPr>
        <w:numPr>
          <w:ilvl w:val="0"/>
          <w:numId w:val="1"/>
        </w:numPr>
        <w:jc w:val="both"/>
        <w:rPr>
          <w:rFonts w:ascii="Garamond" w:hAnsi="Garamond"/>
        </w:rPr>
      </w:pPr>
      <w:r w:rsidRPr="00B91E31">
        <w:rPr>
          <w:rFonts w:ascii="Garamond" w:hAnsi="Garamond"/>
          <w:b/>
          <w:bCs/>
          <w:u w:val="single"/>
        </w:rPr>
        <w:t>Fleets adopt ZECVs:</w:t>
      </w:r>
      <w:r w:rsidRPr="00B91E31">
        <w:rPr>
          <w:rFonts w:ascii="Garamond" w:hAnsi="Garamond"/>
        </w:rPr>
        <w:t xml:space="preserve"> Fleet managers need certainty in their operations and therefore must be familiar and comfortable with new ZECV applications before adopting them. The California Air Resources Board recommends that captive fleets in sites with multiple operations, such as at freight facilities or large depots, make optimal targets for familiarizing new fleets with ZECV technologies</w:t>
      </w:r>
      <w:r w:rsidR="00552A16">
        <w:rPr>
          <w:rFonts w:ascii="Garamond" w:hAnsi="Garamond"/>
        </w:rPr>
        <w:t xml:space="preserve"> </w:t>
      </w:r>
      <w:r w:rsidR="00552A16" w:rsidRPr="00570E6C">
        <w:rPr>
          <w:rFonts w:ascii="Garamond" w:hAnsi="Garamond"/>
        </w:rPr>
        <w:t>(CARB, 2020).</w:t>
      </w:r>
      <w:r w:rsidRPr="00B91E31">
        <w:rPr>
          <w:rFonts w:ascii="Garamond" w:hAnsi="Garamond"/>
        </w:rPr>
        <w:t xml:space="preserve"> Alternately, fleet management company DST rented and operated zero-emission deliveries for IKEA in Shang</w:t>
      </w:r>
      <w:r w:rsidR="00B14495">
        <w:rPr>
          <w:rFonts w:ascii="Garamond" w:hAnsi="Garamond"/>
        </w:rPr>
        <w:t>h</w:t>
      </w:r>
      <w:r w:rsidRPr="00B91E31">
        <w:rPr>
          <w:rFonts w:ascii="Garamond" w:hAnsi="Garamond"/>
        </w:rPr>
        <w:t>ai, thereby meeting demand for ZECVs while avoiding any uncertainty about new technologies and their operations</w:t>
      </w:r>
      <w:r w:rsidR="00C759F7">
        <w:rPr>
          <w:rFonts w:ascii="Garamond" w:hAnsi="Garamond"/>
        </w:rPr>
        <w:t xml:space="preserve"> (Fast Company, 2019).</w:t>
      </w:r>
    </w:p>
    <w:p w14:paraId="06AA738B" w14:textId="139B4908" w:rsidR="00AD4C97" w:rsidRPr="00B91E31" w:rsidRDefault="00AD4C97" w:rsidP="00CE3C2B">
      <w:pPr>
        <w:numPr>
          <w:ilvl w:val="0"/>
          <w:numId w:val="1"/>
        </w:numPr>
        <w:spacing w:after="80"/>
        <w:jc w:val="both"/>
        <w:rPr>
          <w:rFonts w:ascii="Garamond" w:hAnsi="Garamond"/>
        </w:rPr>
      </w:pPr>
      <w:r w:rsidRPr="00B91E31">
        <w:rPr>
          <w:rFonts w:ascii="Garamond" w:hAnsi="Garamond"/>
          <w:b/>
          <w:bCs/>
          <w:u w:val="single"/>
        </w:rPr>
        <w:t>Freight users demand new zero-emission technologies:</w:t>
      </w:r>
      <w:r w:rsidRPr="00B91E31">
        <w:rPr>
          <w:rFonts w:ascii="Garamond" w:hAnsi="Garamond"/>
        </w:rPr>
        <w:t xml:space="preserve"> Demonstrated demand for new ZECV applications is a prerequisite for manufacturers to build those vehicles. As beachhead applications expand beyond initial transit bus deployments, freight carriers must signal their intent to purchase zero emission cargo vans and trucks. EV100</w:t>
      </w:r>
      <w:r w:rsidR="00B5583B">
        <w:rPr>
          <w:rFonts w:ascii="Garamond" w:hAnsi="Garamond"/>
        </w:rPr>
        <w:t xml:space="preserve"> and </w:t>
      </w:r>
      <w:r w:rsidR="00D45EE6">
        <w:rPr>
          <w:rFonts w:ascii="Garamond" w:hAnsi="Garamond"/>
        </w:rPr>
        <w:t xml:space="preserve">the Corporate Electric Vehicle Alliance are examples of </w:t>
      </w:r>
      <w:r w:rsidRPr="00B91E31">
        <w:rPr>
          <w:rFonts w:ascii="Garamond" w:hAnsi="Garamond"/>
        </w:rPr>
        <w:t>consorti</w:t>
      </w:r>
      <w:r w:rsidR="00D45EE6">
        <w:rPr>
          <w:rFonts w:ascii="Garamond" w:hAnsi="Garamond"/>
        </w:rPr>
        <w:t xml:space="preserve">a </w:t>
      </w:r>
      <w:r w:rsidRPr="00B91E31">
        <w:rPr>
          <w:rFonts w:ascii="Garamond" w:hAnsi="Garamond"/>
        </w:rPr>
        <w:t xml:space="preserve">of global fleets </w:t>
      </w:r>
      <w:r w:rsidR="0007466C">
        <w:rPr>
          <w:rFonts w:ascii="Garamond" w:hAnsi="Garamond"/>
        </w:rPr>
        <w:t>aimed at promoting zero-emission technology adoption</w:t>
      </w:r>
      <w:r w:rsidR="008B501E">
        <w:rPr>
          <w:rFonts w:ascii="Garamond" w:hAnsi="Garamond"/>
        </w:rPr>
        <w:t xml:space="preserve"> </w:t>
      </w:r>
      <w:r w:rsidR="00C759F7" w:rsidRPr="00C759F7">
        <w:rPr>
          <w:rFonts w:ascii="Garamond" w:hAnsi="Garamond"/>
        </w:rPr>
        <w:t>(Climate Group, 2020)</w:t>
      </w:r>
      <w:r w:rsidR="008B501E">
        <w:rPr>
          <w:rFonts w:ascii="Garamond" w:hAnsi="Garamond"/>
        </w:rPr>
        <w:t xml:space="preserve"> </w:t>
      </w:r>
      <w:r w:rsidR="00C759F7">
        <w:rPr>
          <w:rFonts w:ascii="Garamond" w:hAnsi="Garamond"/>
        </w:rPr>
        <w:t>(Ceres, 2020).</w:t>
      </w:r>
      <w:r w:rsidRPr="00B91E31">
        <w:rPr>
          <w:rFonts w:ascii="Garamond" w:hAnsi="Garamond"/>
        </w:rPr>
        <w:t xml:space="preserve"> Several large logistics companies, notably Amazon and the United Postal Service, have taken the step to invest </w:t>
      </w:r>
      <w:r>
        <w:rPr>
          <w:rFonts w:ascii="Garamond" w:hAnsi="Garamond"/>
        </w:rPr>
        <w:t xml:space="preserve">billions of dollars </w:t>
      </w:r>
      <w:r w:rsidRPr="00B91E31">
        <w:rPr>
          <w:rFonts w:ascii="Garamond" w:hAnsi="Garamond"/>
        </w:rPr>
        <w:t>in new vehicle models and technologies that will directly support their services</w:t>
      </w:r>
      <w:r w:rsidR="00C759F7">
        <w:rPr>
          <w:rFonts w:ascii="Garamond" w:hAnsi="Garamond"/>
        </w:rPr>
        <w:t xml:space="preserve"> (Forbes, 2020)</w:t>
      </w:r>
      <w:r w:rsidR="00C759F7" w:rsidRPr="00C759F7">
        <w:rPr>
          <w:rFonts w:ascii="Garamond" w:hAnsi="Garamond"/>
        </w:rPr>
        <w:t xml:space="preserve"> </w:t>
      </w:r>
      <w:r w:rsidR="00C759F7">
        <w:rPr>
          <w:rFonts w:ascii="Garamond" w:hAnsi="Garamond"/>
        </w:rPr>
        <w:t>(UPS, 2020).</w:t>
      </w:r>
    </w:p>
    <w:p w14:paraId="0B362CD2" w14:textId="79C7522F" w:rsidR="00AD4C97" w:rsidRPr="00B91E31" w:rsidRDefault="00AD4C97" w:rsidP="00CE3C2B">
      <w:pPr>
        <w:spacing w:before="240" w:after="240"/>
        <w:jc w:val="both"/>
        <w:rPr>
          <w:rFonts w:ascii="Garamond" w:hAnsi="Garamond"/>
        </w:rPr>
      </w:pPr>
      <w:r w:rsidRPr="00B91E31">
        <w:rPr>
          <w:rFonts w:ascii="Garamond" w:hAnsi="Garamond"/>
        </w:rPr>
        <w:t xml:space="preserve">Cities and urban areas will serve as the frontline for ZECV beachhead applications; not only does their density offer more suitable duty-cycles and makes managing vehicle fleets more opportune, but cities are frequently the drivers in addressing the contribution of mobile source emissions to local air pollution. Established beachhead technology applications already serve cities (e.g. transit buses) and the nearby large ports that are typically situated around cities and urban regions (e.g. forklifts). Cities have demonstrated commitment to supporting ZECV  beachhead technologies, such as the </w:t>
      </w:r>
      <w:r>
        <w:rPr>
          <w:rFonts w:ascii="Garamond" w:hAnsi="Garamond"/>
        </w:rPr>
        <w:t>dozens of</w:t>
      </w:r>
      <w:r w:rsidRPr="00B91E31">
        <w:rPr>
          <w:rFonts w:ascii="Garamond" w:hAnsi="Garamond"/>
        </w:rPr>
        <w:t xml:space="preserve"> cities that have signed the</w:t>
      </w:r>
      <w:hyperlink r:id="rId37">
        <w:r w:rsidRPr="00B91E31">
          <w:rPr>
            <w:rFonts w:ascii="Garamond" w:hAnsi="Garamond"/>
          </w:rPr>
          <w:t xml:space="preserve"> </w:t>
        </w:r>
      </w:hyperlink>
      <w:r w:rsidRPr="00B91E31">
        <w:rPr>
          <w:rFonts w:ascii="Garamond" w:hAnsi="Garamond"/>
        </w:rPr>
        <w:t xml:space="preserve">C40 Green and Healthy Streets Declaration that signals the intent to create zero-emission </w:t>
      </w:r>
      <w:r w:rsidR="0060221C">
        <w:rPr>
          <w:rFonts w:ascii="Garamond" w:hAnsi="Garamond"/>
        </w:rPr>
        <w:t>areas</w:t>
      </w:r>
      <w:r w:rsidR="005106B6">
        <w:rPr>
          <w:rFonts w:ascii="Garamond" w:hAnsi="Garamond"/>
        </w:rPr>
        <w:t xml:space="preserve"> </w:t>
      </w:r>
      <w:r w:rsidRPr="00B91E31">
        <w:rPr>
          <w:rFonts w:ascii="Garamond" w:hAnsi="Garamond"/>
        </w:rPr>
        <w:t>and convert transit bus fleets entirely to zero emissions</w:t>
      </w:r>
      <w:r w:rsidR="00C41D7A">
        <w:rPr>
          <w:rFonts w:ascii="Garamond" w:hAnsi="Garamond"/>
        </w:rPr>
        <w:t xml:space="preserve"> (C40, 2020).</w:t>
      </w:r>
      <w:r w:rsidRPr="00B91E31">
        <w:rPr>
          <w:rFonts w:ascii="Garamond" w:hAnsi="Garamond"/>
        </w:rPr>
        <w:t xml:space="preserve"> With the right supportive policies and actions, cities and urban regions can be extremely influential in catalyzing local and widespread ZECV adoption</w:t>
      </w:r>
      <w:r w:rsidR="00570959">
        <w:rPr>
          <w:rFonts w:ascii="Garamond" w:hAnsi="Garamond"/>
        </w:rPr>
        <w:t xml:space="preserve"> (ICCT, 2020a)</w:t>
      </w:r>
      <w:r w:rsidRPr="00B91E31">
        <w:rPr>
          <w:rFonts w:ascii="Garamond" w:hAnsi="Garamond"/>
        </w:rPr>
        <w:t>.</w:t>
      </w:r>
    </w:p>
    <w:p w14:paraId="556AD1FA" w14:textId="5B080F30" w:rsidR="00AD4C97" w:rsidRPr="00B91E31" w:rsidRDefault="00AD4C97" w:rsidP="00CE3C2B">
      <w:pPr>
        <w:spacing w:after="80"/>
        <w:jc w:val="both"/>
        <w:rPr>
          <w:rFonts w:ascii="Garamond" w:hAnsi="Garamond"/>
        </w:rPr>
      </w:pPr>
      <w:r w:rsidRPr="00B91E31">
        <w:rPr>
          <w:rFonts w:ascii="Garamond" w:hAnsi="Garamond"/>
        </w:rPr>
        <w:t>Cities and regions that financially and operationally support ZECV adoption are more likely to entice manufacturers and vehicle upfitters and modifiers to develop and release new vehicle models. In California, for example, the Air Resources Board has funded a clean bus and truck voucher incentive program (HVIP) that has provided incentive funding for a variety of powertrain and vocation options for nearly a decade</w:t>
      </w:r>
      <w:r w:rsidR="00874F06">
        <w:rPr>
          <w:rFonts w:ascii="Garamond" w:hAnsi="Garamond"/>
        </w:rPr>
        <w:t xml:space="preserve">. With an </w:t>
      </w:r>
      <w:r w:rsidR="000D65D5">
        <w:rPr>
          <w:rFonts w:ascii="Garamond" w:hAnsi="Garamond"/>
        </w:rPr>
        <w:t xml:space="preserve">early </w:t>
      </w:r>
      <w:r w:rsidR="0069265E">
        <w:rPr>
          <w:rFonts w:ascii="Garamond" w:hAnsi="Garamond"/>
        </w:rPr>
        <w:t>focus on</w:t>
      </w:r>
      <w:r w:rsidRPr="00B91E31">
        <w:rPr>
          <w:rFonts w:ascii="Garamond" w:hAnsi="Garamond"/>
        </w:rPr>
        <w:t xml:space="preserve"> conventional hybrids</w:t>
      </w:r>
      <w:r w:rsidR="0069265E">
        <w:rPr>
          <w:rFonts w:ascii="Garamond" w:hAnsi="Garamond"/>
        </w:rPr>
        <w:t xml:space="preserve">, the program has </w:t>
      </w:r>
      <w:r w:rsidR="00D27462">
        <w:rPr>
          <w:rFonts w:ascii="Garamond" w:hAnsi="Garamond"/>
        </w:rPr>
        <w:t xml:space="preserve">supported progressively cleaner </w:t>
      </w:r>
      <w:r w:rsidR="00E07320">
        <w:rPr>
          <w:rFonts w:ascii="Garamond" w:hAnsi="Garamond"/>
        </w:rPr>
        <w:t xml:space="preserve">and more advanced </w:t>
      </w:r>
      <w:r w:rsidR="00D27462">
        <w:rPr>
          <w:rFonts w:ascii="Garamond" w:hAnsi="Garamond"/>
        </w:rPr>
        <w:t>technology over time</w:t>
      </w:r>
      <w:r w:rsidR="005E2D76">
        <w:rPr>
          <w:rFonts w:ascii="Garamond" w:hAnsi="Garamond"/>
        </w:rPr>
        <w:t xml:space="preserve">, </w:t>
      </w:r>
      <w:r w:rsidR="00A012E6">
        <w:rPr>
          <w:rFonts w:ascii="Garamond" w:hAnsi="Garamond"/>
        </w:rPr>
        <w:t xml:space="preserve">with </w:t>
      </w:r>
      <w:r w:rsidR="00E07320">
        <w:rPr>
          <w:rFonts w:ascii="Garamond" w:hAnsi="Garamond"/>
        </w:rPr>
        <w:t xml:space="preserve">funding currently </w:t>
      </w:r>
      <w:r w:rsidR="00334AEF">
        <w:rPr>
          <w:rFonts w:ascii="Garamond" w:hAnsi="Garamond"/>
        </w:rPr>
        <w:t xml:space="preserve">reserved only for </w:t>
      </w:r>
      <w:r w:rsidRPr="00B91E31">
        <w:rPr>
          <w:rFonts w:ascii="Garamond" w:hAnsi="Garamond"/>
        </w:rPr>
        <w:t xml:space="preserve">near- and zero-emission technologies. The available funding and open technology format </w:t>
      </w:r>
      <w:proofErr w:type="gramStart"/>
      <w:r w:rsidRPr="00B91E31">
        <w:rPr>
          <w:rFonts w:ascii="Garamond" w:hAnsi="Garamond"/>
        </w:rPr>
        <w:t>has</w:t>
      </w:r>
      <w:proofErr w:type="gramEnd"/>
      <w:r w:rsidRPr="00B91E31">
        <w:rPr>
          <w:rFonts w:ascii="Garamond" w:hAnsi="Garamond"/>
        </w:rPr>
        <w:t xml:space="preserve"> resulted in nearly 150 </w:t>
      </w:r>
      <w:r w:rsidR="00172384">
        <w:rPr>
          <w:rFonts w:ascii="Garamond" w:hAnsi="Garamond"/>
        </w:rPr>
        <w:t xml:space="preserve">unique </w:t>
      </w:r>
      <w:r w:rsidRPr="00B91E31">
        <w:rPr>
          <w:rFonts w:ascii="Garamond" w:hAnsi="Garamond"/>
        </w:rPr>
        <w:t>near-and zero-emission commercial vehicle models registered under the program</w:t>
      </w:r>
      <w:r w:rsidR="00C41D7A">
        <w:rPr>
          <w:rFonts w:ascii="Garamond" w:hAnsi="Garamond"/>
        </w:rPr>
        <w:t xml:space="preserve"> (CARB, 2020b).</w:t>
      </w:r>
      <w:r w:rsidR="0004129A">
        <w:rPr>
          <w:rFonts w:ascii="Garamond" w:hAnsi="Garamond"/>
        </w:rPr>
        <w:t xml:space="preserve"> </w:t>
      </w:r>
      <w:r w:rsidR="00FA6E2D">
        <w:rPr>
          <w:rFonts w:ascii="Garamond" w:hAnsi="Garamond"/>
        </w:rPr>
        <w:t xml:space="preserve">Additional policies and actions </w:t>
      </w:r>
      <w:r w:rsidR="004A32A1">
        <w:rPr>
          <w:rFonts w:ascii="Garamond" w:hAnsi="Garamond"/>
        </w:rPr>
        <w:t xml:space="preserve">that either support or compel the transition to ZECVs will create greater opportunities for </w:t>
      </w:r>
      <w:r w:rsidR="009B21E3">
        <w:rPr>
          <w:rFonts w:ascii="Garamond" w:hAnsi="Garamond"/>
        </w:rPr>
        <w:t>manufacturers and fleets to innovate with new vehicle models and platforms.</w:t>
      </w:r>
      <w:r w:rsidR="00FA6E2D">
        <w:rPr>
          <w:rFonts w:ascii="Garamond" w:hAnsi="Garamond"/>
        </w:rPr>
        <w:t xml:space="preserve"> </w:t>
      </w:r>
    </w:p>
    <w:p w14:paraId="20B48170" w14:textId="553DD7B8" w:rsidR="00AD4C97" w:rsidRDefault="00AD4C97">
      <w:pPr>
        <w:pStyle w:val="Heading2"/>
        <w:spacing w:after="80"/>
      </w:pPr>
      <w:bookmarkStart w:id="37" w:name="_b3trrasb69e" w:colFirst="0" w:colLast="0"/>
      <w:bookmarkStart w:id="38" w:name="_Toc53065372"/>
      <w:bookmarkEnd w:id="37"/>
      <w:r>
        <w:lastRenderedPageBreak/>
        <w:t>Enabling Policies</w:t>
      </w:r>
      <w:bookmarkEnd w:id="38"/>
    </w:p>
    <w:tbl>
      <w:tblPr>
        <w:tblStyle w:val="TableGrid"/>
        <w:tblpPr w:leftFromText="180" w:rightFromText="180" w:vertAnchor="text" w:horzAnchor="page" w:tblpX="7202" w:tblpY="274"/>
        <w:tblOverlap w:val="never"/>
        <w:tblW w:w="4564" w:type="dxa"/>
        <w:tblLook w:val="04A0" w:firstRow="1" w:lastRow="0" w:firstColumn="1" w:lastColumn="0" w:noHBand="0" w:noVBand="1"/>
      </w:tblPr>
      <w:tblGrid>
        <w:gridCol w:w="4564"/>
      </w:tblGrid>
      <w:tr w:rsidR="00476B11" w:rsidRPr="00B91E31" w14:paraId="5B8097A1" w14:textId="77777777" w:rsidTr="00CE3C2B">
        <w:trPr>
          <w:trHeight w:val="3590"/>
        </w:trPr>
        <w:tc>
          <w:tcPr>
            <w:tcW w:w="4564" w:type="dxa"/>
            <w:shd w:val="clear" w:color="auto" w:fill="DAEEF3" w:themeFill="accent5" w:themeFillTint="33"/>
          </w:tcPr>
          <w:p w14:paraId="0F9D066D" w14:textId="4E486C4A" w:rsidR="00476B11" w:rsidRPr="006C7FAC" w:rsidRDefault="00476B11" w:rsidP="00476B11">
            <w:pPr>
              <w:jc w:val="both"/>
              <w:rPr>
                <w:rFonts w:asciiTheme="majorHAnsi" w:hAnsiTheme="majorHAnsi" w:cstheme="majorHAnsi"/>
                <w:b/>
                <w:bCs/>
                <w:u w:val="single"/>
              </w:rPr>
            </w:pPr>
            <w:r>
              <w:rPr>
                <w:rFonts w:asciiTheme="majorHAnsi" w:hAnsiTheme="majorHAnsi" w:cstheme="majorHAnsi"/>
                <w:b/>
                <w:bCs/>
                <w:u w:val="single"/>
              </w:rPr>
              <w:t>Policies and Actions Toolkit</w:t>
            </w:r>
          </w:p>
          <w:p w14:paraId="160C3055" w14:textId="77777777" w:rsidR="00476B11" w:rsidRPr="00B91E31" w:rsidRDefault="00476B11" w:rsidP="00476B11">
            <w:pPr>
              <w:spacing w:after="80"/>
              <w:jc w:val="both"/>
              <w:rPr>
                <w:rFonts w:ascii="Garamond" w:hAnsi="Garamond"/>
              </w:rPr>
            </w:pPr>
          </w:p>
          <w:p w14:paraId="6CA6F136" w14:textId="59EA4840" w:rsidR="00476B11" w:rsidRPr="00B91E31" w:rsidRDefault="00476B11" w:rsidP="00476B11">
            <w:pPr>
              <w:spacing w:after="80"/>
              <w:jc w:val="both"/>
              <w:rPr>
                <w:rFonts w:ascii="Garamond" w:hAnsi="Garamond"/>
              </w:rPr>
            </w:pPr>
            <w:r w:rsidRPr="00B91E31">
              <w:rPr>
                <w:rFonts w:ascii="Garamond" w:hAnsi="Garamond"/>
              </w:rPr>
              <w:t>CALSTART</w:t>
            </w:r>
            <w:r>
              <w:rPr>
                <w:rFonts w:ascii="Garamond" w:hAnsi="Garamond"/>
              </w:rPr>
              <w:t xml:space="preserve">’s “Policies and Actions Toolkit” catalogues </w:t>
            </w:r>
            <w:r w:rsidR="00E62591">
              <w:rPr>
                <w:rFonts w:ascii="Garamond" w:hAnsi="Garamond"/>
              </w:rPr>
              <w:t>and categorizes examples</w:t>
            </w:r>
            <w:r>
              <w:rPr>
                <w:rFonts w:ascii="Garamond" w:hAnsi="Garamond"/>
              </w:rPr>
              <w:t xml:space="preserve"> </w:t>
            </w:r>
            <w:r w:rsidR="00E62591">
              <w:rPr>
                <w:rFonts w:ascii="Garamond" w:hAnsi="Garamond"/>
              </w:rPr>
              <w:t>of enabling policies from around the worl</w:t>
            </w:r>
            <w:r w:rsidR="008C32AC">
              <w:rPr>
                <w:rFonts w:ascii="Garamond" w:hAnsi="Garamond"/>
              </w:rPr>
              <w:t xml:space="preserve">d. </w:t>
            </w:r>
            <w:r w:rsidR="008002F6">
              <w:rPr>
                <w:rFonts w:ascii="Garamond" w:hAnsi="Garamond"/>
              </w:rPr>
              <w:t>This free online tool</w:t>
            </w:r>
            <w:r w:rsidR="008C32AC" w:rsidRPr="008C32AC">
              <w:rPr>
                <w:rFonts w:ascii="Garamond" w:hAnsi="Garamond"/>
              </w:rPr>
              <w:t xml:space="preserve"> </w:t>
            </w:r>
            <w:r w:rsidR="00A17367">
              <w:rPr>
                <w:rFonts w:ascii="Garamond" w:hAnsi="Garamond"/>
              </w:rPr>
              <w:t>defines</w:t>
            </w:r>
            <w:r w:rsidR="008C32AC" w:rsidRPr="008C32AC">
              <w:rPr>
                <w:rFonts w:ascii="Garamond" w:hAnsi="Garamond"/>
              </w:rPr>
              <w:t xml:space="preserve"> these </w:t>
            </w:r>
            <w:r w:rsidR="00A17367">
              <w:rPr>
                <w:rFonts w:ascii="Garamond" w:hAnsi="Garamond"/>
              </w:rPr>
              <w:t xml:space="preserve">policies </w:t>
            </w:r>
            <w:r w:rsidR="008C32AC" w:rsidRPr="008C32AC">
              <w:rPr>
                <w:rFonts w:ascii="Garamond" w:hAnsi="Garamond"/>
              </w:rPr>
              <w:t xml:space="preserve">actions, where they are being used, case studies of their successes, </w:t>
            </w:r>
            <w:r w:rsidR="008002F6">
              <w:rPr>
                <w:rFonts w:ascii="Garamond" w:hAnsi="Garamond"/>
              </w:rPr>
              <w:t xml:space="preserve">additional resources for in-depth research, </w:t>
            </w:r>
            <w:r w:rsidR="008C32AC" w:rsidRPr="008C32AC">
              <w:rPr>
                <w:rFonts w:ascii="Garamond" w:hAnsi="Garamond"/>
              </w:rPr>
              <w:t>and a matrix that allows for comparison between strategies</w:t>
            </w:r>
            <w:r w:rsidRPr="00B91E31">
              <w:rPr>
                <w:rFonts w:ascii="Garamond" w:hAnsi="Garamond"/>
              </w:rPr>
              <w:t>:</w:t>
            </w:r>
            <w:r w:rsidRPr="00B91E31">
              <w:rPr>
                <w:rFonts w:ascii="Garamond" w:hAnsi="Garamond"/>
              </w:rPr>
              <w:br/>
            </w:r>
            <w:r w:rsidRPr="00B91E31">
              <w:rPr>
                <w:rFonts w:ascii="Garamond" w:hAnsi="Garamond"/>
              </w:rPr>
              <w:br/>
            </w:r>
            <w:hyperlink r:id="rId38" w:history="1">
              <w:r w:rsidR="00A17367" w:rsidRPr="00857ECB">
                <w:rPr>
                  <w:rStyle w:val="Hyperlink"/>
                </w:rPr>
                <w:t>http://toolkit.globaldrivetozero.org/</w:t>
              </w:r>
            </w:hyperlink>
            <w:r w:rsidR="00A17367">
              <w:t xml:space="preserve"> </w:t>
            </w:r>
          </w:p>
        </w:tc>
      </w:tr>
    </w:tbl>
    <w:p w14:paraId="6E939DD3" w14:textId="0E98F8DD" w:rsidR="00476B11" w:rsidRPr="00B91E31" w:rsidRDefault="00AD4C97" w:rsidP="00CE3C2B">
      <w:pPr>
        <w:spacing w:before="240" w:after="240"/>
        <w:jc w:val="both"/>
        <w:rPr>
          <w:rFonts w:ascii="Garamond" w:hAnsi="Garamond"/>
        </w:rPr>
      </w:pPr>
      <w:r w:rsidRPr="00B91E31">
        <w:rPr>
          <w:rFonts w:ascii="Garamond" w:hAnsi="Garamond"/>
        </w:rPr>
        <w:t>To support global action and progress in ZECV development and adoption, policymakers, manufacturers, fleets, utilities, NGOs</w:t>
      </w:r>
      <w:r>
        <w:rPr>
          <w:rFonts w:ascii="Garamond" w:hAnsi="Garamond"/>
        </w:rPr>
        <w:t>,</w:t>
      </w:r>
      <w:r w:rsidRPr="00B91E31">
        <w:rPr>
          <w:rFonts w:ascii="Garamond" w:hAnsi="Garamond"/>
        </w:rPr>
        <w:t xml:space="preserve"> and others will need to understand which policies and actions can remove adoption barriers and accelerate ZECV uptake. Examples of these policies and actions include:</w:t>
      </w:r>
    </w:p>
    <w:p w14:paraId="5EB89D05" w14:textId="70CF2BB4" w:rsidR="0010581D" w:rsidRPr="00CE3C2B" w:rsidRDefault="0010581D" w:rsidP="0010581D">
      <w:pPr>
        <w:spacing w:before="240" w:after="240"/>
        <w:jc w:val="both"/>
        <w:rPr>
          <w:rFonts w:ascii="Garamond" w:hAnsi="Garamond"/>
        </w:rPr>
      </w:pPr>
      <w:r w:rsidRPr="00724AFF">
        <w:rPr>
          <w:rFonts w:ascii="Garamond" w:hAnsi="Garamond"/>
          <w:b/>
          <w:bCs/>
        </w:rPr>
        <w:t>Manufacturer Sales Requirements</w:t>
      </w:r>
      <w:r w:rsidRPr="00B91E31">
        <w:rPr>
          <w:rFonts w:ascii="Garamond" w:hAnsi="Garamond"/>
          <w:b/>
          <w:bCs/>
        </w:rPr>
        <w:t>:</w:t>
      </w:r>
      <w:r w:rsidRPr="00B91E31">
        <w:rPr>
          <w:rFonts w:ascii="Garamond" w:hAnsi="Garamond"/>
        </w:rPr>
        <w:t xml:space="preserve"> ZECVs may become more commonplace or even ubiquitous at state or federal levels through the support of </w:t>
      </w:r>
      <w:r>
        <w:rPr>
          <w:rFonts w:ascii="Garamond" w:hAnsi="Garamond"/>
        </w:rPr>
        <w:t xml:space="preserve">regulations that require </w:t>
      </w:r>
      <w:r w:rsidRPr="00B91E31">
        <w:rPr>
          <w:rFonts w:ascii="Garamond" w:hAnsi="Garamond"/>
        </w:rPr>
        <w:t>automakers to sell ZEVs as a rising percentage of total sales over time.</w:t>
      </w:r>
      <w:hyperlink r:id="rId39">
        <w:r w:rsidRPr="00B91E31">
          <w:rPr>
            <w:rFonts w:ascii="Garamond" w:hAnsi="Garamond"/>
          </w:rPr>
          <w:t xml:space="preserve"> </w:t>
        </w:r>
      </w:hyperlink>
      <w:r w:rsidRPr="003A0AEE">
        <w:rPr>
          <w:rFonts w:ascii="Garamond" w:hAnsi="Garamond"/>
        </w:rPr>
        <w:t xml:space="preserve">California has approved the Advanced Clean Truck (ACT) rule to support the growth of medium- and heavy-duty freight vehicles by setting a minimum percentage of ZE truck sales for each </w:t>
      </w:r>
      <w:r w:rsidRPr="00183C7C">
        <w:rPr>
          <w:rFonts w:ascii="Garamond" w:hAnsi="Garamond"/>
        </w:rPr>
        <w:t>obligated manufacturer and providing those automakers with flexibilities to meet requirements through a crediting system</w:t>
      </w:r>
      <w:r>
        <w:rPr>
          <w:rFonts w:ascii="Garamond" w:hAnsi="Garamond"/>
        </w:rPr>
        <w:t xml:space="preserve"> </w:t>
      </w:r>
      <w:r w:rsidRPr="00183C7C">
        <w:rPr>
          <w:rFonts w:ascii="Garamond" w:hAnsi="Garamond"/>
        </w:rPr>
        <w:t xml:space="preserve">(CARB, 2020e). </w:t>
      </w:r>
      <w:r w:rsidRPr="00183C7C">
        <w:rPr>
          <w:rFonts w:ascii="Garamond" w:eastAsiaTheme="minorHAnsi" w:hAnsi="Garamond"/>
        </w:rPr>
        <w:t xml:space="preserve"> The ACT rule builds upon the success of California’s light-duty ZEV program that the Chinese government adapted for </w:t>
      </w:r>
      <w:r w:rsidRPr="00183C7C">
        <w:rPr>
          <w:rFonts w:ascii="Garamond" w:hAnsi="Garamond"/>
        </w:rPr>
        <w:t xml:space="preserve">its own ZEV program (CARB, 2020f) (ICCT, 2019a). </w:t>
      </w:r>
    </w:p>
    <w:p w14:paraId="2C8B37F0" w14:textId="2DA67655" w:rsidR="0010581D" w:rsidRPr="00B91E31" w:rsidRDefault="0010581D" w:rsidP="0010581D">
      <w:pPr>
        <w:spacing w:before="240" w:after="240"/>
        <w:jc w:val="both"/>
        <w:rPr>
          <w:rFonts w:ascii="Garamond" w:hAnsi="Garamond"/>
          <w:highlight w:val="white"/>
        </w:rPr>
      </w:pPr>
      <w:r w:rsidRPr="00B91E31">
        <w:rPr>
          <w:rFonts w:ascii="Garamond" w:hAnsi="Garamond"/>
          <w:b/>
          <w:bCs/>
        </w:rPr>
        <w:t xml:space="preserve">Fleet Procurement Requirements: </w:t>
      </w:r>
      <w:r w:rsidRPr="00B91E31">
        <w:rPr>
          <w:rFonts w:ascii="Garamond" w:hAnsi="Garamond"/>
        </w:rPr>
        <w:t>Z</w:t>
      </w:r>
      <w:r w:rsidRPr="00B91E31">
        <w:rPr>
          <w:rFonts w:ascii="Garamond" w:hAnsi="Garamond"/>
          <w:highlight w:val="white"/>
        </w:rPr>
        <w:t xml:space="preserve">ero-emission transit buses are at the leading edge of the beachhead model. Regulations requiring transit operators to plan for and purchase ZECVs offer the dual benefits of familiarizing and integrating beachhead technologies within a city or region and helping that city or region to improve local air quality, meet GHG reduction goals, and eventually improve the total cost of ZECV ownership. For example, </w:t>
      </w:r>
      <w:r w:rsidRPr="00B91E31">
        <w:rPr>
          <w:rFonts w:ascii="Garamond" w:hAnsi="Garamond"/>
        </w:rPr>
        <w:t>California’s Innovative Clean Transit</w:t>
      </w:r>
      <w:r w:rsidRPr="00B91E31">
        <w:rPr>
          <w:rFonts w:ascii="Garamond" w:hAnsi="Garamond"/>
          <w:highlight w:val="white"/>
        </w:rPr>
        <w:t xml:space="preserve"> regulation requires all public transit operators to gradually shift procurements toward zero-emission transit buses until all new bus purchases must be zero-emission beginning in 2029</w:t>
      </w:r>
      <w:r>
        <w:rPr>
          <w:rFonts w:ascii="Garamond" w:hAnsi="Garamond"/>
        </w:rPr>
        <w:t xml:space="preserve"> (CARB, 2020d)</w:t>
      </w:r>
      <w:r w:rsidRPr="00B91E31">
        <w:rPr>
          <w:rFonts w:ascii="Garamond" w:hAnsi="Garamond"/>
          <w:highlight w:val="white"/>
        </w:rPr>
        <w:t>.</w:t>
      </w:r>
      <w:r>
        <w:rPr>
          <w:rFonts w:ascii="Garamond" w:hAnsi="Garamond"/>
          <w:highlight w:val="white"/>
        </w:rPr>
        <w:t xml:space="preserve"> </w:t>
      </w:r>
      <w:r>
        <w:rPr>
          <w:rFonts w:ascii="Garamond" w:hAnsi="Garamond"/>
        </w:rPr>
        <w:t xml:space="preserve">As other heavy-duty fleet vehicles become commercially available, municipal fleets may also be obligated to purchase ZECVs. </w:t>
      </w:r>
      <w:r w:rsidRPr="002304FD">
        <w:rPr>
          <w:rFonts w:ascii="Garamond" w:hAnsi="Garamond"/>
        </w:rPr>
        <w:t>The two largest cities in the United States have both issued requirements for their municipal fleets to transition to ZECVs</w:t>
      </w:r>
      <w:r w:rsidR="008975C6">
        <w:rPr>
          <w:rFonts w:ascii="Garamond" w:hAnsi="Garamond"/>
        </w:rPr>
        <w:t xml:space="preserve"> (</w:t>
      </w:r>
      <w:r w:rsidR="00107707">
        <w:rPr>
          <w:rFonts w:ascii="Garamond" w:hAnsi="Garamond"/>
        </w:rPr>
        <w:t>Drive to Zero, 2020)</w:t>
      </w:r>
      <w:r w:rsidRPr="002304FD">
        <w:rPr>
          <w:rFonts w:ascii="Garamond" w:hAnsi="Garamond"/>
        </w:rPr>
        <w:t>, creating strong market signals for vehicle manufacturers and enabling smaller cities to follow with their own ZECV purchases or procurement requirements.</w:t>
      </w:r>
      <w:r>
        <w:rPr>
          <w:rFonts w:ascii="Garamond" w:hAnsi="Garamond"/>
        </w:rPr>
        <w:t xml:space="preserve"> </w:t>
      </w:r>
      <w:r w:rsidRPr="00F66269">
        <w:rPr>
          <w:rFonts w:ascii="Garamond" w:hAnsi="Garamond"/>
        </w:rPr>
        <w:t>The European Union’s Clean Vehicle Directive aggregates municipal purchases to national levels and establishes procurement targets for each member state</w:t>
      </w:r>
      <w:r w:rsidR="00107707">
        <w:rPr>
          <w:rFonts w:ascii="Garamond" w:hAnsi="Garamond"/>
        </w:rPr>
        <w:t xml:space="preserve"> (European Commission, 2020)</w:t>
      </w:r>
      <w:r w:rsidRPr="00F66269">
        <w:rPr>
          <w:rFonts w:ascii="Garamond" w:hAnsi="Garamond"/>
        </w:rPr>
        <w:t>. This process of aggregating municipal purchases provides member states with flexibility for how to efficiently allocate procurements between fleets</w:t>
      </w:r>
      <w:r>
        <w:rPr>
          <w:rFonts w:ascii="Garamond" w:hAnsi="Garamond"/>
        </w:rPr>
        <w:t>.</w:t>
      </w:r>
    </w:p>
    <w:p w14:paraId="4F942FBF" w14:textId="7511BF01" w:rsidR="00AD4C97" w:rsidRPr="00B91E31" w:rsidRDefault="000E0383" w:rsidP="00CE3C2B">
      <w:pPr>
        <w:spacing w:before="240" w:after="240"/>
        <w:jc w:val="both"/>
        <w:rPr>
          <w:rFonts w:ascii="Garamond" w:hAnsi="Garamond"/>
          <w:highlight w:val="white"/>
        </w:rPr>
      </w:pPr>
      <w:r>
        <w:rPr>
          <w:rFonts w:ascii="Garamond" w:hAnsi="Garamond"/>
          <w:b/>
          <w:bCs/>
        </w:rPr>
        <w:t xml:space="preserve">Fleet-Friendly </w:t>
      </w:r>
      <w:r w:rsidR="00AD4C97" w:rsidRPr="00B91E31">
        <w:rPr>
          <w:rFonts w:ascii="Garamond" w:hAnsi="Garamond"/>
          <w:b/>
          <w:bCs/>
        </w:rPr>
        <w:t>Purchase Incentives:</w:t>
      </w:r>
      <w:r w:rsidR="00AD4C97" w:rsidRPr="00B91E31">
        <w:rPr>
          <w:rFonts w:ascii="Garamond" w:hAnsi="Garamond"/>
        </w:rPr>
        <w:t xml:space="preserve"> </w:t>
      </w:r>
      <w:r w:rsidR="00AD4C97" w:rsidRPr="00B91E31">
        <w:rPr>
          <w:rFonts w:ascii="Garamond" w:hAnsi="Garamond"/>
          <w:highlight w:val="white"/>
        </w:rPr>
        <w:t>One of the most direct methods of promoting ZECVs is creating a financial incentive that makes manufacturing, owning, or operating a vehicle less expensive. Reducing the up-front cost of a ZECV, typically higher than that of a petroleum-powered vehicle, has been a common tactic in some of the regions with the highest rates of ZECV adoption. For example, voucher incentive programs in</w:t>
      </w:r>
      <w:hyperlink r:id="rId40">
        <w:r w:rsidR="00AD4C97" w:rsidRPr="00B91E31">
          <w:rPr>
            <w:rFonts w:ascii="Garamond" w:hAnsi="Garamond"/>
            <w:highlight w:val="white"/>
          </w:rPr>
          <w:t xml:space="preserve"> </w:t>
        </w:r>
      </w:hyperlink>
      <w:r w:rsidR="00AD4C97" w:rsidRPr="00B91E31">
        <w:rPr>
          <w:rFonts w:ascii="Garamond" w:hAnsi="Garamond"/>
        </w:rPr>
        <w:t>California</w:t>
      </w:r>
      <w:r w:rsidR="00AD4C97" w:rsidRPr="00B91E31">
        <w:rPr>
          <w:rFonts w:ascii="Garamond" w:hAnsi="Garamond"/>
          <w:highlight w:val="white"/>
        </w:rPr>
        <w:t xml:space="preserve"> and</w:t>
      </w:r>
      <w:hyperlink r:id="rId41">
        <w:r w:rsidR="00AD4C97" w:rsidRPr="00B91E31">
          <w:rPr>
            <w:rFonts w:ascii="Garamond" w:hAnsi="Garamond"/>
            <w:highlight w:val="white"/>
          </w:rPr>
          <w:t xml:space="preserve"> </w:t>
        </w:r>
      </w:hyperlink>
      <w:r w:rsidR="00AD4C97" w:rsidRPr="00B91E31">
        <w:rPr>
          <w:rFonts w:ascii="Garamond" w:hAnsi="Garamond"/>
        </w:rPr>
        <w:t>New York</w:t>
      </w:r>
      <w:r w:rsidR="00AD4C97" w:rsidRPr="00B91E31">
        <w:rPr>
          <w:rFonts w:ascii="Garamond" w:hAnsi="Garamond"/>
          <w:highlight w:val="white"/>
        </w:rPr>
        <w:t xml:space="preserve"> help reduce the purchase price of low- and zero-emission commercial vehicles through an innovative voucher system that provides a point-of-sale discount to fleets</w:t>
      </w:r>
      <w:r w:rsidR="00C41D7A">
        <w:rPr>
          <w:rFonts w:ascii="Garamond" w:hAnsi="Garamond"/>
          <w:highlight w:val="white"/>
        </w:rPr>
        <w:t xml:space="preserve"> </w:t>
      </w:r>
      <w:r w:rsidR="00C41D7A">
        <w:rPr>
          <w:rFonts w:ascii="Garamond" w:hAnsi="Garamond"/>
        </w:rPr>
        <w:t>(CARB, 2020c) (NYSERDA, 2020).</w:t>
      </w:r>
      <w:r>
        <w:rPr>
          <w:rFonts w:ascii="Garamond" w:hAnsi="Garamond"/>
        </w:rPr>
        <w:t xml:space="preserve"> </w:t>
      </w:r>
      <w:r w:rsidR="007D4D7C" w:rsidRPr="007D4D7C">
        <w:rPr>
          <w:rFonts w:ascii="Garamond" w:hAnsi="Garamond"/>
        </w:rPr>
        <w:t xml:space="preserve">These programs are typically preferable to tax credits or rebates because they </w:t>
      </w:r>
      <w:proofErr w:type="gramStart"/>
      <w:r w:rsidR="007D4D7C" w:rsidRPr="007D4D7C">
        <w:rPr>
          <w:rFonts w:ascii="Garamond" w:hAnsi="Garamond"/>
        </w:rPr>
        <w:t>don’t</w:t>
      </w:r>
      <w:proofErr w:type="gramEnd"/>
      <w:r w:rsidR="007D4D7C" w:rsidRPr="007D4D7C">
        <w:rPr>
          <w:rFonts w:ascii="Garamond" w:hAnsi="Garamond"/>
        </w:rPr>
        <w:t xml:space="preserve"> require fleets to provide a capital outlay and they provide accessibility to a greater number of fleets (CALSTART</w:t>
      </w:r>
      <w:r w:rsidR="000F7AAF">
        <w:rPr>
          <w:rFonts w:ascii="Garamond" w:hAnsi="Garamond"/>
        </w:rPr>
        <w:t>,</w:t>
      </w:r>
      <w:r w:rsidR="007D4D7C" w:rsidRPr="007D4D7C">
        <w:rPr>
          <w:rFonts w:ascii="Garamond" w:hAnsi="Garamond"/>
        </w:rPr>
        <w:t xml:space="preserve"> 2019</w:t>
      </w:r>
      <w:r w:rsidR="00570959">
        <w:rPr>
          <w:rFonts w:ascii="Garamond" w:hAnsi="Garamond"/>
        </w:rPr>
        <w:t>a</w:t>
      </w:r>
      <w:r w:rsidR="007D4D7C" w:rsidRPr="007D4D7C">
        <w:rPr>
          <w:rFonts w:ascii="Garamond" w:hAnsi="Garamond"/>
        </w:rPr>
        <w:t>)</w:t>
      </w:r>
      <w:r w:rsidR="007D4D7C">
        <w:rPr>
          <w:rFonts w:ascii="Garamond" w:hAnsi="Garamond"/>
        </w:rPr>
        <w:t>.</w:t>
      </w:r>
    </w:p>
    <w:p w14:paraId="02F897EB" w14:textId="38A2C77E" w:rsidR="00AD4C97" w:rsidRPr="00B91E31" w:rsidRDefault="00AD4C97" w:rsidP="00CE3C2B">
      <w:pPr>
        <w:spacing w:before="240" w:after="240"/>
        <w:jc w:val="both"/>
        <w:rPr>
          <w:rFonts w:ascii="Garamond" w:hAnsi="Garamond"/>
          <w:highlight w:val="white"/>
        </w:rPr>
      </w:pPr>
      <w:r w:rsidRPr="00B91E31">
        <w:rPr>
          <w:rFonts w:ascii="Garamond" w:hAnsi="Garamond"/>
          <w:b/>
          <w:bCs/>
        </w:rPr>
        <w:lastRenderedPageBreak/>
        <w:t>Congestion Zones and Pricing</w:t>
      </w:r>
      <w:r w:rsidR="00120808">
        <w:rPr>
          <w:rStyle w:val="FootnoteReference"/>
          <w:rFonts w:ascii="Garamond" w:hAnsi="Garamond"/>
          <w:b/>
          <w:bCs/>
        </w:rPr>
        <w:footnoteReference w:id="15"/>
      </w:r>
      <w:r w:rsidRPr="00B91E31">
        <w:rPr>
          <w:rFonts w:ascii="Garamond" w:hAnsi="Garamond"/>
          <w:b/>
          <w:bCs/>
        </w:rPr>
        <w:t>:</w:t>
      </w:r>
      <w:r w:rsidRPr="00B91E31">
        <w:rPr>
          <w:rFonts w:ascii="Garamond" w:hAnsi="Garamond"/>
        </w:rPr>
        <w:t xml:space="preserve"> </w:t>
      </w:r>
      <w:r w:rsidRPr="00B91E31">
        <w:rPr>
          <w:rFonts w:ascii="Garamond" w:hAnsi="Garamond"/>
          <w:highlight w:val="white"/>
        </w:rPr>
        <w:t>Cities may require payment for vehicles to enter a restricted zone to ease urban congestion and improve urban air quality. Reducing or eliminating payment for ZECVs to enter a congestion zone creates a financial reward for adopting ZECVs, as the cost of doing business in congestion zones is lessened relative to operating conventionally powered trucks or buses.</w:t>
      </w:r>
      <w:hyperlink r:id="rId42">
        <w:r w:rsidRPr="00B91E31">
          <w:rPr>
            <w:rFonts w:ascii="Garamond" w:hAnsi="Garamond"/>
          </w:rPr>
          <w:t xml:space="preserve"> </w:t>
        </w:r>
      </w:hyperlink>
      <w:r w:rsidRPr="00B91E31">
        <w:rPr>
          <w:rFonts w:ascii="Garamond" w:hAnsi="Garamond"/>
        </w:rPr>
        <w:t>London’s Ultra Low Emission Zone</w:t>
      </w:r>
      <w:r w:rsidRPr="00B91E31">
        <w:rPr>
          <w:rFonts w:ascii="Garamond" w:hAnsi="Garamond"/>
          <w:highlight w:val="white"/>
        </w:rPr>
        <w:t xml:space="preserve"> requires payment for vehicles that do not meet emissions standards to drive into the central city; as emissions standards for commercial vehicles increase and the regulated zone expands in size, ZECV operators will save on fees to access central London</w:t>
      </w:r>
      <w:r w:rsidR="00C41D7A">
        <w:rPr>
          <w:rFonts w:ascii="Garamond" w:hAnsi="Garamond"/>
          <w:highlight w:val="white"/>
        </w:rPr>
        <w:t xml:space="preserve"> </w:t>
      </w:r>
      <w:r w:rsidR="00C41D7A">
        <w:rPr>
          <w:rFonts w:ascii="Garamond" w:hAnsi="Garamond"/>
        </w:rPr>
        <w:t>(TFL, 2020).</w:t>
      </w:r>
      <w:r w:rsidR="00E85503">
        <w:rPr>
          <w:rFonts w:ascii="Garamond" w:hAnsi="Garamond"/>
        </w:rPr>
        <w:t xml:space="preserve"> </w:t>
      </w:r>
      <w:r w:rsidR="00E85503" w:rsidRPr="00B91E31">
        <w:rPr>
          <w:rFonts w:ascii="Garamond" w:hAnsi="Garamond"/>
        </w:rPr>
        <w:t>Fleets operating within the zone have already responded by switching to electrified delivery vehicles</w:t>
      </w:r>
      <w:r w:rsidR="00E85503">
        <w:rPr>
          <w:rFonts w:ascii="Garamond" w:hAnsi="Garamond"/>
        </w:rPr>
        <w:t xml:space="preserve"> (UPS, 2018).</w:t>
      </w:r>
    </w:p>
    <w:p w14:paraId="15E8CA92" w14:textId="3B2DD963" w:rsidR="00AD4C97" w:rsidRPr="00B91E31" w:rsidRDefault="00AD4C97" w:rsidP="00CE3C2B">
      <w:pPr>
        <w:spacing w:before="240" w:after="240"/>
        <w:jc w:val="both"/>
        <w:rPr>
          <w:rFonts w:ascii="Garamond" w:hAnsi="Garamond"/>
        </w:rPr>
      </w:pPr>
      <w:r w:rsidRPr="00B91E31">
        <w:rPr>
          <w:rFonts w:ascii="Garamond" w:hAnsi="Garamond"/>
          <w:b/>
          <w:bCs/>
        </w:rPr>
        <w:t>Access Fees:</w:t>
      </w:r>
      <w:r w:rsidRPr="00B91E31">
        <w:rPr>
          <w:rFonts w:ascii="Garamond" w:hAnsi="Garamond"/>
        </w:rPr>
        <w:t xml:space="preserve"> </w:t>
      </w:r>
      <w:r w:rsidR="00AA232A">
        <w:rPr>
          <w:rFonts w:ascii="Garamond" w:hAnsi="Garamond"/>
        </w:rPr>
        <w:t xml:space="preserve">ZECVs can become more attractive to fleet operators of they are more cost-effective. Placing </w:t>
      </w:r>
      <w:r w:rsidR="00365E45">
        <w:rPr>
          <w:rFonts w:ascii="Garamond" w:hAnsi="Garamond"/>
        </w:rPr>
        <w:t xml:space="preserve">taxes or fees on vehicles with tailpipe emissions improves the total cost of </w:t>
      </w:r>
      <w:r w:rsidR="00EF7122">
        <w:rPr>
          <w:rFonts w:ascii="Garamond" w:hAnsi="Garamond"/>
        </w:rPr>
        <w:t>ownership for ZECVs relative to diesel-powered vehicles.</w:t>
      </w:r>
      <w:r w:rsidR="00365E45">
        <w:rPr>
          <w:rFonts w:ascii="Garamond" w:hAnsi="Garamond"/>
        </w:rPr>
        <w:t xml:space="preserve"> </w:t>
      </w:r>
      <w:r w:rsidRPr="00B91E31">
        <w:rPr>
          <w:rFonts w:ascii="Garamond" w:hAnsi="Garamond"/>
        </w:rPr>
        <w:t>Some ports</w:t>
      </w:r>
      <w:r w:rsidR="008A13A5">
        <w:rPr>
          <w:rFonts w:ascii="Garamond" w:hAnsi="Garamond"/>
        </w:rPr>
        <w:t xml:space="preserve"> or freight facilities</w:t>
      </w:r>
      <w:r w:rsidRPr="00B91E31">
        <w:rPr>
          <w:rFonts w:ascii="Garamond" w:hAnsi="Garamond"/>
        </w:rPr>
        <w:t xml:space="preserve"> are introducing fees on drayage trucks while encouraging air quality and GHG emissions improvements by providing preferential pricing or access for ZECVs. Over time, the access price for gasoline- and diesel-powered vehicles may climb high enough to practically prohibit these vehicles, leading to an entirely ZECV fleet. For example, the</w:t>
      </w:r>
      <w:hyperlink r:id="rId43">
        <w:r w:rsidRPr="00B91E31">
          <w:rPr>
            <w:rFonts w:ascii="Garamond" w:hAnsi="Garamond"/>
          </w:rPr>
          <w:t xml:space="preserve"> </w:t>
        </w:r>
      </w:hyperlink>
      <w:r w:rsidRPr="00B91E31">
        <w:rPr>
          <w:rFonts w:ascii="Garamond" w:hAnsi="Garamond"/>
        </w:rPr>
        <w:t>Ports of Los Angeles and Long Beach are experimenting with steadily rising access fees that may ultimately permit only ZECVs to operate on the premises</w:t>
      </w:r>
      <w:r w:rsidR="00C41D7A">
        <w:rPr>
          <w:rFonts w:ascii="Garamond" w:hAnsi="Garamond"/>
        </w:rPr>
        <w:t xml:space="preserve"> </w:t>
      </w:r>
      <w:r w:rsidR="00C41D7A" w:rsidRPr="00570E6C">
        <w:rPr>
          <w:rFonts w:ascii="Garamond" w:hAnsi="Garamond"/>
        </w:rPr>
        <w:t>(San Pedro Bay Ports, 2020).</w:t>
      </w:r>
      <w:r w:rsidR="00EF7122">
        <w:rPr>
          <w:rFonts w:ascii="Garamond" w:hAnsi="Garamond"/>
        </w:rPr>
        <w:t xml:space="preserve"> In Europe, some </w:t>
      </w:r>
      <w:r w:rsidR="000C0A41">
        <w:rPr>
          <w:rFonts w:ascii="Garamond" w:hAnsi="Garamond"/>
        </w:rPr>
        <w:t xml:space="preserve">nations assess annual road taxes on diesel-powered vehicles but exempt ZECVs. One such </w:t>
      </w:r>
      <w:r w:rsidR="000C6CD0">
        <w:rPr>
          <w:rFonts w:ascii="Garamond" w:hAnsi="Garamond"/>
        </w:rPr>
        <w:t>road tax in Switzerland</w:t>
      </w:r>
      <w:r w:rsidR="00C17078">
        <w:rPr>
          <w:rFonts w:ascii="Garamond" w:hAnsi="Garamond"/>
        </w:rPr>
        <w:t xml:space="preserve"> (Swiss Customs, 2020)</w:t>
      </w:r>
      <w:r w:rsidR="000C6CD0">
        <w:rPr>
          <w:rFonts w:ascii="Garamond" w:hAnsi="Garamond"/>
        </w:rPr>
        <w:t xml:space="preserve"> has led a consortium of </w:t>
      </w:r>
      <w:r w:rsidR="00451939">
        <w:rPr>
          <w:rFonts w:ascii="Garamond" w:hAnsi="Garamond"/>
        </w:rPr>
        <w:t>the nation’s largest retailers to trial a fleet of long-haul FCEV trucks</w:t>
      </w:r>
      <w:r w:rsidR="00105EB0">
        <w:rPr>
          <w:rFonts w:ascii="Garamond" w:hAnsi="Garamond"/>
        </w:rPr>
        <w:t xml:space="preserve"> (Reuters, 2020)</w:t>
      </w:r>
      <w:r w:rsidR="00451939">
        <w:rPr>
          <w:rFonts w:ascii="Garamond" w:hAnsi="Garamond"/>
        </w:rPr>
        <w:t>.</w:t>
      </w:r>
    </w:p>
    <w:p w14:paraId="1EAFFF5C" w14:textId="4240C55A" w:rsidR="00AD4C97" w:rsidRPr="00B91E31" w:rsidRDefault="00AD4C97" w:rsidP="00CE3C2B">
      <w:pPr>
        <w:spacing w:before="240" w:after="240"/>
        <w:jc w:val="both"/>
        <w:rPr>
          <w:rFonts w:ascii="Garamond" w:hAnsi="Garamond"/>
          <w:highlight w:val="white"/>
        </w:rPr>
      </w:pPr>
      <w:r w:rsidRPr="00B91E31">
        <w:rPr>
          <w:rFonts w:ascii="Garamond" w:hAnsi="Garamond"/>
          <w:b/>
          <w:bCs/>
        </w:rPr>
        <w:t>Preferred Access Lanes and Zones:</w:t>
      </w:r>
      <w:r w:rsidRPr="00B91E31">
        <w:rPr>
          <w:rFonts w:ascii="Garamond" w:hAnsi="Garamond"/>
        </w:rPr>
        <w:t xml:space="preserve"> Many global ports and urban corridors are experiencing major congestion issues; reserving access to ZECVs reduces congestion while incentivizing clean transportation adoption. A</w:t>
      </w:r>
      <w:hyperlink r:id="rId44">
        <w:r w:rsidRPr="00B91E31">
          <w:rPr>
            <w:rFonts w:ascii="Garamond" w:hAnsi="Garamond"/>
          </w:rPr>
          <w:t xml:space="preserve"> </w:t>
        </w:r>
      </w:hyperlink>
      <w:hyperlink r:id="rId45">
        <w:r w:rsidRPr="00B91E31">
          <w:rPr>
            <w:rFonts w:ascii="Garamond" w:hAnsi="Garamond"/>
          </w:rPr>
          <w:t>Los Angeles County Metropolitan Transit Authority (Metro) and South Coast Air Quality Management District</w:t>
        </w:r>
      </w:hyperlink>
      <w:r w:rsidRPr="00B91E31">
        <w:rPr>
          <w:rFonts w:ascii="Garamond" w:hAnsi="Garamond"/>
        </w:rPr>
        <w:t xml:space="preserve"> study found that reserving highway access to large regional ports for a zero-emission corridor is feasible</w:t>
      </w:r>
      <w:r w:rsidR="00F11D03">
        <w:rPr>
          <w:rFonts w:ascii="Garamond" w:hAnsi="Garamond"/>
        </w:rPr>
        <w:t xml:space="preserve"> (CALSTART, 2012).</w:t>
      </w:r>
      <w:r w:rsidRPr="00B91E31">
        <w:rPr>
          <w:rFonts w:ascii="Garamond" w:hAnsi="Garamond"/>
        </w:rPr>
        <w:t xml:space="preserve"> Separately, the</w:t>
      </w:r>
      <w:hyperlink r:id="rId46">
        <w:r w:rsidRPr="00B91E31">
          <w:rPr>
            <w:rFonts w:ascii="Garamond" w:hAnsi="Garamond"/>
          </w:rPr>
          <w:t xml:space="preserve"> </w:t>
        </w:r>
      </w:hyperlink>
      <w:r w:rsidRPr="00B91E31">
        <w:rPr>
          <w:rFonts w:ascii="Garamond" w:hAnsi="Garamond"/>
        </w:rPr>
        <w:t xml:space="preserve">New York State Energy Research &amp; Development Authority determined </w:t>
      </w:r>
      <w:r w:rsidRPr="00B91E31">
        <w:rPr>
          <w:rFonts w:ascii="Garamond" w:hAnsi="Garamond"/>
          <w:highlight w:val="white"/>
        </w:rPr>
        <w:t>that “green loading zones,” or reserving curbside spaces for zero-emission trucks, in New York City could cost-effectively promote ZECV adoption and help achieve the city’s air quality and GHG goals</w:t>
      </w:r>
      <w:r w:rsidR="00F11D03">
        <w:rPr>
          <w:rFonts w:ascii="Garamond" w:hAnsi="Garamond"/>
          <w:highlight w:val="white"/>
        </w:rPr>
        <w:t xml:space="preserve"> </w:t>
      </w:r>
      <w:r w:rsidR="00F11D03">
        <w:rPr>
          <w:rFonts w:ascii="Garamond" w:hAnsi="Garamond"/>
        </w:rPr>
        <w:t>(NYSERDA, 2014).</w:t>
      </w:r>
    </w:p>
    <w:p w14:paraId="2176E977" w14:textId="6F6E3A15" w:rsidR="009A48C0" w:rsidRDefault="009A48C0" w:rsidP="00DC5FEF">
      <w:pPr>
        <w:spacing w:before="240" w:after="240"/>
        <w:jc w:val="both"/>
        <w:rPr>
          <w:rFonts w:ascii="Garamond" w:hAnsi="Garamond"/>
          <w:b/>
          <w:bCs/>
        </w:rPr>
      </w:pPr>
      <w:r w:rsidRPr="00B91E31">
        <w:rPr>
          <w:rFonts w:ascii="Garamond" w:hAnsi="Garamond"/>
          <w:b/>
          <w:bCs/>
        </w:rPr>
        <w:t>Zero-Emission Areas</w:t>
      </w:r>
      <w:r w:rsidR="0010581D">
        <w:rPr>
          <w:rFonts w:ascii="Garamond" w:hAnsi="Garamond"/>
          <w:b/>
          <w:bCs/>
        </w:rPr>
        <w:t xml:space="preserve"> (Cities)</w:t>
      </w:r>
      <w:r w:rsidRPr="00B91E31">
        <w:rPr>
          <w:rFonts w:ascii="Garamond" w:hAnsi="Garamond"/>
          <w:b/>
          <w:bCs/>
        </w:rPr>
        <w:t>:</w:t>
      </w:r>
      <w:r w:rsidRPr="00B91E31">
        <w:rPr>
          <w:rFonts w:ascii="Garamond" w:hAnsi="Garamond"/>
        </w:rPr>
        <w:t xml:space="preserve"> </w:t>
      </w:r>
      <w:r w:rsidRPr="00B91E31">
        <w:rPr>
          <w:rFonts w:ascii="Garamond" w:hAnsi="Garamond"/>
          <w:highlight w:val="white"/>
        </w:rPr>
        <w:t xml:space="preserve">Some cities (or sections of cities) may exclude polluting vehicles from entering designated boundaries. By providing a timeline for restricting vehicle access to cities and providing exemptions for ZECVs, these cities are creating a new and guaranteed market for zero-emission vehicle and fuel manufacturers to meet expected demand. Some countries have also announced policies intended to prohibit the sale of gasoline- or diesel-powered vehicles. These zero-emission areas have been implemented in </w:t>
      </w:r>
      <w:r w:rsidRPr="00B91E31">
        <w:rPr>
          <w:rFonts w:ascii="Garamond" w:hAnsi="Garamond"/>
        </w:rPr>
        <w:t>European cities, such as</w:t>
      </w:r>
      <w:hyperlink r:id="rId47">
        <w:r w:rsidRPr="00B91E31">
          <w:rPr>
            <w:rFonts w:ascii="Garamond" w:hAnsi="Garamond"/>
          </w:rPr>
          <w:t xml:space="preserve"> </w:t>
        </w:r>
      </w:hyperlink>
      <w:r w:rsidRPr="00B91E31">
        <w:rPr>
          <w:rFonts w:ascii="Garamond" w:hAnsi="Garamond"/>
        </w:rPr>
        <w:t>Oslo’s growing zero-emission city center</w:t>
      </w:r>
      <w:r>
        <w:rPr>
          <w:rFonts w:ascii="Garamond" w:hAnsi="Garamond"/>
        </w:rPr>
        <w:t xml:space="preserve"> (</w:t>
      </w:r>
      <w:proofErr w:type="spellStart"/>
      <w:r>
        <w:rPr>
          <w:rFonts w:ascii="Garamond" w:hAnsi="Garamond"/>
        </w:rPr>
        <w:t>Fjellinjen</w:t>
      </w:r>
      <w:proofErr w:type="spellEnd"/>
      <w:r>
        <w:rPr>
          <w:rFonts w:ascii="Garamond" w:hAnsi="Garamond"/>
        </w:rPr>
        <w:t>, 2017) (Urban Access Regulations, 2020) or across the Netherlands, where 30-40 of the largest cities will implement zero-emission freight zones by 2025</w:t>
      </w:r>
      <w:r w:rsidR="00C012AC">
        <w:rPr>
          <w:rFonts w:ascii="Garamond" w:hAnsi="Garamond"/>
        </w:rPr>
        <w:t xml:space="preserve"> (C40</w:t>
      </w:r>
      <w:r w:rsidR="009C3746">
        <w:rPr>
          <w:rFonts w:ascii="Garamond" w:hAnsi="Garamond"/>
        </w:rPr>
        <w:t>a</w:t>
      </w:r>
      <w:r w:rsidR="00C012AC">
        <w:rPr>
          <w:rFonts w:ascii="Garamond" w:hAnsi="Garamond"/>
        </w:rPr>
        <w:t>, 2020)</w:t>
      </w:r>
      <w:r>
        <w:rPr>
          <w:rFonts w:ascii="Garamond" w:hAnsi="Garamond"/>
        </w:rPr>
        <w:t xml:space="preserve">. </w:t>
      </w:r>
      <w:r w:rsidRPr="0068202D">
        <w:rPr>
          <w:rFonts w:ascii="Garamond" w:hAnsi="Garamond"/>
        </w:rPr>
        <w:t xml:space="preserve">Beijing </w:t>
      </w:r>
      <w:r>
        <w:rPr>
          <w:rFonts w:ascii="Garamond" w:hAnsi="Garamond"/>
        </w:rPr>
        <w:t>has</w:t>
      </w:r>
      <w:r w:rsidRPr="0068202D">
        <w:rPr>
          <w:rFonts w:ascii="Garamond" w:hAnsi="Garamond"/>
        </w:rPr>
        <w:t xml:space="preserve"> restricted access to delivery vehicles </w:t>
      </w:r>
      <w:r>
        <w:rPr>
          <w:rFonts w:ascii="Garamond" w:hAnsi="Garamond"/>
        </w:rPr>
        <w:t xml:space="preserve">weight </w:t>
      </w:r>
      <w:r w:rsidRPr="0068202D">
        <w:rPr>
          <w:rFonts w:ascii="Garamond" w:hAnsi="Garamond"/>
        </w:rPr>
        <w:t>less than 4.5</w:t>
      </w:r>
      <w:r>
        <w:rPr>
          <w:rFonts w:ascii="Garamond" w:hAnsi="Garamond"/>
        </w:rPr>
        <w:t xml:space="preserve"> metric tons</w:t>
      </w:r>
      <w:r w:rsidRPr="0068202D">
        <w:rPr>
          <w:rFonts w:ascii="Garamond" w:hAnsi="Garamond"/>
        </w:rPr>
        <w:t>, setting a ZEV target of 90 percent of all qualifying vehicles that enter the Fifth Ring Road</w:t>
      </w:r>
      <w:r w:rsidR="0060134B">
        <w:rPr>
          <w:rFonts w:ascii="Garamond" w:hAnsi="Garamond"/>
        </w:rPr>
        <w:t xml:space="preserve"> (Baidu</w:t>
      </w:r>
      <w:r w:rsidR="007A69BB">
        <w:rPr>
          <w:rFonts w:ascii="Garamond" w:hAnsi="Garamond"/>
        </w:rPr>
        <w:t>, 2019)</w:t>
      </w:r>
      <w:r>
        <w:rPr>
          <w:rFonts w:ascii="Garamond" w:hAnsi="Garamond"/>
        </w:rPr>
        <w:t xml:space="preserve">. </w:t>
      </w:r>
      <w:r w:rsidRPr="00B91E31">
        <w:rPr>
          <w:rFonts w:ascii="Garamond" w:hAnsi="Garamond"/>
        </w:rPr>
        <w:t>As more megacities follow this path, a greater number of mayors will become increasingly aware of the emission</w:t>
      </w:r>
      <w:r>
        <w:rPr>
          <w:rFonts w:ascii="Garamond" w:hAnsi="Garamond"/>
        </w:rPr>
        <w:t>s</w:t>
      </w:r>
      <w:r w:rsidRPr="00B91E31">
        <w:rPr>
          <w:rFonts w:ascii="Garamond" w:hAnsi="Garamond"/>
        </w:rPr>
        <w:t xml:space="preserve"> and noise benefits of zero-emission electric trucks and buses.</w:t>
      </w:r>
    </w:p>
    <w:p w14:paraId="741429B6" w14:textId="492DA1BC" w:rsidR="00AD4C97" w:rsidRDefault="00216E9F" w:rsidP="00DC5FEF">
      <w:pPr>
        <w:spacing w:before="240" w:after="240"/>
        <w:jc w:val="both"/>
        <w:rPr>
          <w:rFonts w:ascii="Garamond" w:hAnsi="Garamond"/>
        </w:rPr>
      </w:pPr>
      <w:r>
        <w:rPr>
          <w:rFonts w:ascii="Garamond" w:hAnsi="Garamond"/>
          <w:b/>
          <w:bCs/>
        </w:rPr>
        <w:lastRenderedPageBreak/>
        <w:t>Fossil Fuel</w:t>
      </w:r>
      <w:r w:rsidR="00471CDC">
        <w:rPr>
          <w:rFonts w:ascii="Garamond" w:hAnsi="Garamond"/>
          <w:b/>
          <w:bCs/>
        </w:rPr>
        <w:t xml:space="preserve"> Vehicle</w:t>
      </w:r>
      <w:r>
        <w:rPr>
          <w:rFonts w:ascii="Garamond" w:hAnsi="Garamond"/>
          <w:b/>
          <w:bCs/>
        </w:rPr>
        <w:t xml:space="preserve"> Exclusion</w:t>
      </w:r>
      <w:r w:rsidR="00476B11">
        <w:rPr>
          <w:rFonts w:ascii="Garamond" w:hAnsi="Garamond"/>
          <w:b/>
          <w:bCs/>
        </w:rPr>
        <w:t xml:space="preserve"> (State, Province, or Federal)</w:t>
      </w:r>
      <w:r w:rsidR="00AD4C97" w:rsidRPr="00B91E31">
        <w:rPr>
          <w:rFonts w:ascii="Garamond" w:hAnsi="Garamond"/>
          <w:b/>
          <w:bCs/>
        </w:rPr>
        <w:t>:</w:t>
      </w:r>
      <w:r w:rsidR="00AD4C97" w:rsidRPr="00B91E31">
        <w:rPr>
          <w:rFonts w:ascii="Garamond" w:hAnsi="Garamond"/>
        </w:rPr>
        <w:t xml:space="preserve"> The elevated air quality impacts of diesel vehicles and a growing urgency to find cleaner, equitable transportation solutions with lower </w:t>
      </w:r>
      <w:r w:rsidR="00062685">
        <w:rPr>
          <w:rFonts w:ascii="Garamond" w:hAnsi="Garamond"/>
        </w:rPr>
        <w:t>greenhouse gas (</w:t>
      </w:r>
      <w:r w:rsidR="00AD4C97" w:rsidRPr="00B91E31">
        <w:rPr>
          <w:rFonts w:ascii="Garamond" w:hAnsi="Garamond"/>
        </w:rPr>
        <w:t>GHG</w:t>
      </w:r>
      <w:r w:rsidR="00062685">
        <w:rPr>
          <w:rFonts w:ascii="Garamond" w:hAnsi="Garamond"/>
        </w:rPr>
        <w:t>)</w:t>
      </w:r>
      <w:r w:rsidR="00AD4C97" w:rsidRPr="00B91E31">
        <w:rPr>
          <w:rFonts w:ascii="Garamond" w:hAnsi="Garamond"/>
        </w:rPr>
        <w:t xml:space="preserve"> emissions has inspired some national governments to declare their intentions to exclude petroleum-powered vehicle </w:t>
      </w:r>
      <w:r w:rsidR="00DE3309">
        <w:rPr>
          <w:rFonts w:ascii="Garamond" w:hAnsi="Garamond"/>
        </w:rPr>
        <w:t xml:space="preserve">sales or </w:t>
      </w:r>
      <w:r w:rsidR="00AD4C97" w:rsidRPr="00B91E31">
        <w:rPr>
          <w:rFonts w:ascii="Garamond" w:hAnsi="Garamond"/>
        </w:rPr>
        <w:t>operation</w:t>
      </w:r>
      <w:r w:rsidR="00DE3309">
        <w:rPr>
          <w:rFonts w:ascii="Garamond" w:hAnsi="Garamond"/>
        </w:rPr>
        <w:t>s</w:t>
      </w:r>
      <w:r w:rsidR="00AD4C97" w:rsidRPr="00B91E31">
        <w:rPr>
          <w:rFonts w:ascii="Garamond" w:hAnsi="Garamond"/>
        </w:rPr>
        <w:t xml:space="preserve"> within their borders. Governments from around the world are considering such bans on internal combustion engine</w:t>
      </w:r>
      <w:r>
        <w:rPr>
          <w:rFonts w:ascii="Garamond" w:hAnsi="Garamond"/>
        </w:rPr>
        <w:t xml:space="preserve"> use or sales</w:t>
      </w:r>
      <w:r w:rsidR="00AD4C97" w:rsidRPr="00B91E31">
        <w:rPr>
          <w:rFonts w:ascii="Garamond" w:hAnsi="Garamond"/>
        </w:rPr>
        <w:t>, which would make ZECV adoption compulsory in some nations as early as 2030.</w:t>
      </w:r>
      <w:hyperlink r:id="rId48">
        <w:r w:rsidR="00AD4C97" w:rsidRPr="00B91E31">
          <w:rPr>
            <w:rFonts w:ascii="Garamond" w:hAnsi="Garamond"/>
          </w:rPr>
          <w:t xml:space="preserve"> </w:t>
        </w:r>
      </w:hyperlink>
      <w:r w:rsidR="00AD4C97" w:rsidRPr="00B91E31">
        <w:rPr>
          <w:rFonts w:ascii="Garamond" w:hAnsi="Garamond"/>
        </w:rPr>
        <w:t>Examples of potential federal exclusion zones include European (France, the Netherlands, Slovenia, Sweden, the United Kingdom) and Asian (China, India) governments, as well as a North American province (</w:t>
      </w:r>
      <w:hyperlink r:id="rId49">
        <w:r w:rsidR="00AD4C97" w:rsidRPr="00B91E31">
          <w:rPr>
            <w:rFonts w:ascii="Garamond" w:hAnsi="Garamond"/>
          </w:rPr>
          <w:t>British Columbia</w:t>
        </w:r>
      </w:hyperlink>
      <w:r w:rsidR="00AD4C97" w:rsidRPr="00B91E31">
        <w:rPr>
          <w:rFonts w:ascii="Garamond" w:hAnsi="Garamond"/>
        </w:rPr>
        <w:t>)</w:t>
      </w:r>
      <w:r w:rsidR="00296122">
        <w:rPr>
          <w:rFonts w:ascii="Garamond" w:hAnsi="Garamond"/>
        </w:rPr>
        <w:t xml:space="preserve"> (GTM, 2018).</w:t>
      </w:r>
    </w:p>
    <w:p w14:paraId="45F91F79" w14:textId="29EC8C81" w:rsidR="00CA180F" w:rsidRPr="00183C7C" w:rsidRDefault="00CA180F" w:rsidP="00CA180F">
      <w:pPr>
        <w:spacing w:after="160" w:line="259" w:lineRule="auto"/>
        <w:contextualSpacing/>
        <w:jc w:val="both"/>
        <w:rPr>
          <w:rFonts w:ascii="Garamond" w:eastAsiaTheme="minorHAnsi" w:hAnsi="Garamond"/>
          <w:szCs w:val="22"/>
        </w:rPr>
      </w:pPr>
      <w:r w:rsidRPr="003A0AEE">
        <w:rPr>
          <w:rFonts w:ascii="Garamond" w:eastAsiaTheme="minorHAnsi" w:hAnsi="Garamond"/>
          <w:b/>
          <w:szCs w:val="22"/>
        </w:rPr>
        <w:t>Vehicle Registration Limits and Exemptions</w:t>
      </w:r>
      <w:r w:rsidRPr="003A0AEE">
        <w:rPr>
          <w:rFonts w:ascii="Garamond" w:eastAsiaTheme="minorHAnsi" w:hAnsi="Garamond"/>
          <w:szCs w:val="22"/>
        </w:rPr>
        <w:t xml:space="preserve">: Controlling license plates and vehicle regulations can impact and improve emissions in congested, urban areas with high levels of pollution and congestion. By placing a limit on new diesel-powered truck registrations and exempting or waiving restrictions on ZECVs, cities create a strong incentive for fleets to adopt ZECVs for immediate deployment. The City of Beijing places new gasoline- and diesel-powered vehicle registrations into a lottery, and the City of Shanghai limits such registrations through an auction system </w:t>
      </w:r>
      <w:r w:rsidRPr="00183C7C">
        <w:rPr>
          <w:rFonts w:ascii="Garamond" w:hAnsi="Garamond"/>
        </w:rPr>
        <w:t>(Bloomberg, 2019a) (The Economist, 2018).</w:t>
      </w:r>
      <w:r w:rsidRPr="003A0AEE">
        <w:rPr>
          <w:rFonts w:ascii="Garamond" w:eastAsiaTheme="minorHAnsi" w:hAnsi="Garamond"/>
          <w:szCs w:val="22"/>
        </w:rPr>
        <w:t xml:space="preserve"> Both cities exempt “new energy vehicles” that include ZECVs from registration restrictions.</w:t>
      </w:r>
    </w:p>
    <w:p w14:paraId="629B646C" w14:textId="77777777" w:rsidR="00CA180F" w:rsidRDefault="00CA180F" w:rsidP="00CE3C2B">
      <w:pPr>
        <w:spacing w:after="160" w:line="259" w:lineRule="auto"/>
        <w:contextualSpacing/>
        <w:jc w:val="both"/>
        <w:rPr>
          <w:rFonts w:ascii="Garamond" w:hAnsi="Garamond"/>
        </w:rPr>
      </w:pPr>
    </w:p>
    <w:p w14:paraId="08580483" w14:textId="19DE3C5F" w:rsidR="004B7902" w:rsidRDefault="004B7902" w:rsidP="004B7902">
      <w:pPr>
        <w:spacing w:after="160" w:line="259" w:lineRule="auto"/>
        <w:contextualSpacing/>
        <w:jc w:val="both"/>
        <w:rPr>
          <w:rFonts w:ascii="Garamond" w:eastAsiaTheme="minorHAnsi" w:hAnsi="Garamond"/>
          <w:szCs w:val="22"/>
        </w:rPr>
      </w:pPr>
      <w:r w:rsidRPr="003A0AEE">
        <w:rPr>
          <w:rFonts w:ascii="Garamond" w:eastAsiaTheme="minorHAnsi" w:hAnsi="Garamond"/>
          <w:b/>
          <w:bCs/>
          <w:szCs w:val="22"/>
        </w:rPr>
        <w:t>Weight Exemptions:</w:t>
      </w:r>
      <w:r w:rsidRPr="003A0AEE">
        <w:rPr>
          <w:rFonts w:ascii="Garamond" w:eastAsiaTheme="minorHAnsi" w:hAnsi="Garamond"/>
          <w:szCs w:val="22"/>
        </w:rPr>
        <w:t xml:space="preserve"> Battery systems typically add weight to vehicles relative to diesel engines and fueling systems. Vehicles are typically regulated with strict weight caps by vehicle type, creating a potential penalty that would require fleet operators to carry less cargo or pay a penalty for exceeding weight limits. Manufacturers are addressing battery weight concerns through vehicle efficiencies but have not yet reached comparable weights to diesel trucks. Exemptions to exceed weight limits will ease fleet ZECV adoption by eliminating the potential weight penalty. The California legislature allows a </w:t>
      </w:r>
      <w:proofErr w:type="gramStart"/>
      <w:r w:rsidRPr="003A0AEE">
        <w:rPr>
          <w:rFonts w:ascii="Garamond" w:eastAsiaTheme="minorHAnsi" w:hAnsi="Garamond"/>
          <w:szCs w:val="22"/>
        </w:rPr>
        <w:t>2,000 pound</w:t>
      </w:r>
      <w:proofErr w:type="gramEnd"/>
      <w:r w:rsidRPr="003A0AEE">
        <w:rPr>
          <w:rFonts w:ascii="Garamond" w:eastAsiaTheme="minorHAnsi" w:hAnsi="Garamond"/>
          <w:szCs w:val="22"/>
        </w:rPr>
        <w:t xml:space="preserve"> weight exemption for all alternative fuel commercial vehicles, including electric and fuel cell vehicles </w:t>
      </w:r>
      <w:r w:rsidRPr="00183C7C">
        <w:rPr>
          <w:rFonts w:ascii="Garamond" w:hAnsi="Garamond"/>
        </w:rPr>
        <w:t>(CA DOT, 2019).</w:t>
      </w:r>
      <w:r>
        <w:rPr>
          <w:rFonts w:ascii="Garamond" w:hAnsi="Garamond"/>
        </w:rPr>
        <w:t xml:space="preserve"> </w:t>
      </w:r>
      <w:r w:rsidRPr="0073622E">
        <w:rPr>
          <w:rFonts w:ascii="Garamond" w:hAnsi="Garamond"/>
        </w:rPr>
        <w:t xml:space="preserve">The European Union has implemented a </w:t>
      </w:r>
      <w:r>
        <w:rPr>
          <w:rFonts w:ascii="Garamond" w:hAnsi="Garamond"/>
        </w:rPr>
        <w:t>two-ton (metric)</w:t>
      </w:r>
      <w:r w:rsidRPr="0073622E">
        <w:rPr>
          <w:rFonts w:ascii="Garamond" w:hAnsi="Garamond"/>
        </w:rPr>
        <w:t xml:space="preserve"> exemption for </w:t>
      </w:r>
      <w:r>
        <w:rPr>
          <w:rFonts w:ascii="Garamond" w:hAnsi="Garamond"/>
        </w:rPr>
        <w:t>zero-emission</w:t>
      </w:r>
      <w:r w:rsidRPr="0073622E">
        <w:rPr>
          <w:rFonts w:ascii="Garamond" w:hAnsi="Garamond"/>
        </w:rPr>
        <w:t xml:space="preserve"> technologies to exceed class limits</w:t>
      </w:r>
      <w:r w:rsidR="00747E6E">
        <w:rPr>
          <w:rFonts w:ascii="Garamond" w:hAnsi="Garamond"/>
        </w:rPr>
        <w:t xml:space="preserve"> (EU Publications, 2019)</w:t>
      </w:r>
      <w:r>
        <w:rPr>
          <w:rFonts w:ascii="Garamond" w:hAnsi="Garamond"/>
        </w:rPr>
        <w:t>, though the absolute upper weight limit is still enforced</w:t>
      </w:r>
      <w:r w:rsidR="009B1001">
        <w:rPr>
          <w:rFonts w:ascii="Garamond" w:hAnsi="Garamond"/>
        </w:rPr>
        <w:t xml:space="preserve"> (T&amp;E, 2020)</w:t>
      </w:r>
      <w:r>
        <w:rPr>
          <w:rFonts w:ascii="Garamond" w:hAnsi="Garamond"/>
        </w:rPr>
        <w:t>.</w:t>
      </w:r>
    </w:p>
    <w:p w14:paraId="2FCD314E" w14:textId="77777777" w:rsidR="004B7902" w:rsidRPr="00CE3C2B" w:rsidRDefault="004B7902" w:rsidP="00CE3C2B">
      <w:pPr>
        <w:spacing w:after="160" w:line="259" w:lineRule="auto"/>
        <w:contextualSpacing/>
        <w:jc w:val="both"/>
        <w:rPr>
          <w:rFonts w:ascii="Garamond" w:eastAsiaTheme="minorHAnsi" w:hAnsi="Garamond"/>
          <w:szCs w:val="22"/>
        </w:rPr>
      </w:pPr>
    </w:p>
    <w:p w14:paraId="40491022" w14:textId="58334834" w:rsidR="000061C8" w:rsidRPr="00B91E31" w:rsidRDefault="000061C8" w:rsidP="00CE3C2B">
      <w:pPr>
        <w:jc w:val="both"/>
        <w:rPr>
          <w:rFonts w:ascii="Garamond" w:hAnsi="Garamond"/>
        </w:rPr>
      </w:pPr>
      <w:r w:rsidRPr="00CE3C2B">
        <w:rPr>
          <w:rFonts w:ascii="Garamond" w:hAnsi="Garamond"/>
          <w:b/>
          <w:bCs/>
        </w:rPr>
        <w:t>Low</w:t>
      </w:r>
      <w:r>
        <w:rPr>
          <w:rFonts w:ascii="Garamond" w:hAnsi="Garamond"/>
          <w:b/>
          <w:bCs/>
        </w:rPr>
        <w:t>-</w:t>
      </w:r>
      <w:r w:rsidRPr="00CE3C2B">
        <w:rPr>
          <w:rFonts w:ascii="Garamond" w:hAnsi="Garamond"/>
          <w:b/>
          <w:bCs/>
        </w:rPr>
        <w:t>Carbon Fuel Standards:</w:t>
      </w:r>
      <w:r>
        <w:rPr>
          <w:rFonts w:ascii="Garamond" w:hAnsi="Garamond"/>
        </w:rPr>
        <w:t xml:space="preserve"> These standards place a cap on the carbon intensity of fuels and require that fuel suppliers sell aggregated fuels below that cap or incur penalties. This regulation creates incentives for clean electricity and hydrogen generation, which either lower a fuel supplier’s aggregate carbon intensity or generate credits by third parties that can be sold to fuel suppliers. To</w:t>
      </w:r>
      <w:r w:rsidRPr="00B91E31">
        <w:rPr>
          <w:rFonts w:ascii="Garamond" w:hAnsi="Garamond"/>
        </w:rPr>
        <w:t xml:space="preserve"> make ZECVs more attractive, </w:t>
      </w:r>
      <w:r>
        <w:rPr>
          <w:rFonts w:ascii="Garamond" w:hAnsi="Garamond"/>
        </w:rPr>
        <w:t>the European Union</w:t>
      </w:r>
      <w:r w:rsidRPr="00B91E31">
        <w:rPr>
          <w:rFonts w:ascii="Garamond" w:hAnsi="Garamond"/>
        </w:rPr>
        <w:t xml:space="preserve">, </w:t>
      </w:r>
      <w:r>
        <w:rPr>
          <w:rFonts w:ascii="Garamond" w:hAnsi="Garamond"/>
        </w:rPr>
        <w:t xml:space="preserve">British Columbia, </w:t>
      </w:r>
      <w:r w:rsidRPr="00B91E31">
        <w:rPr>
          <w:rFonts w:ascii="Garamond" w:hAnsi="Garamond"/>
        </w:rPr>
        <w:t xml:space="preserve">California, and Oregon have </w:t>
      </w:r>
      <w:r>
        <w:rPr>
          <w:rFonts w:ascii="Garamond" w:hAnsi="Garamond"/>
        </w:rPr>
        <w:t>low-carbon</w:t>
      </w:r>
      <w:r w:rsidRPr="00B91E31">
        <w:rPr>
          <w:rFonts w:ascii="Garamond" w:hAnsi="Garamond"/>
        </w:rPr>
        <w:t xml:space="preserve"> fuel standards </w:t>
      </w:r>
      <w:r>
        <w:rPr>
          <w:rFonts w:ascii="Garamond" w:hAnsi="Garamond"/>
        </w:rPr>
        <w:t>require carbon intensity reductions in fuel content</w:t>
      </w:r>
      <w:r w:rsidR="009B1001">
        <w:rPr>
          <w:rFonts w:ascii="Garamond" w:hAnsi="Garamond"/>
        </w:rPr>
        <w:t xml:space="preserve"> (Drive to Zero, 2020a)</w:t>
      </w:r>
      <w:r>
        <w:rPr>
          <w:rFonts w:ascii="Garamond" w:hAnsi="Garamond"/>
        </w:rPr>
        <w:t>. The Canadian federal government plans to introduce a low-carbon fuel standard proposal by the end of 2020 (ECCC, 2020).</w:t>
      </w:r>
    </w:p>
    <w:p w14:paraId="3E14CEB0" w14:textId="325EDD4D" w:rsidR="0041418A" w:rsidRDefault="00C03482" w:rsidP="00CE3C2B">
      <w:pPr>
        <w:spacing w:before="240" w:after="240"/>
        <w:jc w:val="both"/>
        <w:rPr>
          <w:rFonts w:ascii="Garamond" w:hAnsi="Garamond"/>
        </w:rPr>
      </w:pPr>
      <w:r>
        <w:rPr>
          <w:rFonts w:ascii="Garamond" w:hAnsi="Garamond"/>
          <w:b/>
          <w:bCs/>
        </w:rPr>
        <w:t xml:space="preserve">Direct </w:t>
      </w:r>
      <w:r w:rsidR="003A0AEE">
        <w:rPr>
          <w:rFonts w:ascii="Garamond" w:hAnsi="Garamond"/>
          <w:b/>
          <w:bCs/>
        </w:rPr>
        <w:t>Infrastructure Investments</w:t>
      </w:r>
      <w:r w:rsidR="003A0AEE" w:rsidRPr="00B91E31">
        <w:rPr>
          <w:rFonts w:ascii="Garamond" w:hAnsi="Garamond"/>
          <w:b/>
          <w:bCs/>
        </w:rPr>
        <w:t>:</w:t>
      </w:r>
      <w:r w:rsidR="003A0AEE" w:rsidRPr="00B91E31">
        <w:rPr>
          <w:rFonts w:ascii="Garamond" w:hAnsi="Garamond"/>
        </w:rPr>
        <w:t xml:space="preserve"> </w:t>
      </w:r>
      <w:r w:rsidR="00CD745A">
        <w:rPr>
          <w:rFonts w:ascii="Garamond" w:hAnsi="Garamond"/>
        </w:rPr>
        <w:t xml:space="preserve">Widely available charging and fueling infrastructure remains a critical step toward </w:t>
      </w:r>
      <w:r w:rsidR="007D0FAD">
        <w:rPr>
          <w:rFonts w:ascii="Garamond" w:hAnsi="Garamond"/>
        </w:rPr>
        <w:t xml:space="preserve">widespread </w:t>
      </w:r>
      <w:r w:rsidR="004F5BD6">
        <w:rPr>
          <w:rFonts w:ascii="Garamond" w:hAnsi="Garamond"/>
        </w:rPr>
        <w:t xml:space="preserve">the adoption of </w:t>
      </w:r>
      <w:r w:rsidR="007D0FAD">
        <w:rPr>
          <w:rFonts w:ascii="Garamond" w:hAnsi="Garamond"/>
        </w:rPr>
        <w:t>ZECV</w:t>
      </w:r>
      <w:r w:rsidR="004F5BD6">
        <w:rPr>
          <w:rFonts w:ascii="Garamond" w:hAnsi="Garamond"/>
        </w:rPr>
        <w:t xml:space="preserve">, which will </w:t>
      </w:r>
      <w:r w:rsidR="004F5BD6" w:rsidRPr="004F5BD6">
        <w:rPr>
          <w:rFonts w:ascii="Garamond" w:hAnsi="Garamond"/>
        </w:rPr>
        <w:t>require separate</w:t>
      </w:r>
      <w:r w:rsidR="00F124F8">
        <w:rPr>
          <w:rFonts w:ascii="Garamond" w:hAnsi="Garamond"/>
        </w:rPr>
        <w:t xml:space="preserve"> charging</w:t>
      </w:r>
      <w:r w:rsidR="004F5BD6" w:rsidRPr="004F5BD6">
        <w:rPr>
          <w:rFonts w:ascii="Garamond" w:hAnsi="Garamond"/>
        </w:rPr>
        <w:t xml:space="preserve"> investments from public light-duty stations to meet the large</w:t>
      </w:r>
      <w:r w:rsidR="00F124F8">
        <w:rPr>
          <w:rFonts w:ascii="Garamond" w:hAnsi="Garamond"/>
        </w:rPr>
        <w:t xml:space="preserve">, high-speed </w:t>
      </w:r>
      <w:r w:rsidR="004F5BD6" w:rsidRPr="004F5BD6">
        <w:rPr>
          <w:rFonts w:ascii="Garamond" w:hAnsi="Garamond"/>
        </w:rPr>
        <w:t>needs of electrified fleets</w:t>
      </w:r>
      <w:r w:rsidR="00F124F8">
        <w:rPr>
          <w:rFonts w:ascii="Garamond" w:hAnsi="Garamond"/>
        </w:rPr>
        <w:t xml:space="preserve"> (</w:t>
      </w:r>
      <w:r w:rsidR="000168A8">
        <w:rPr>
          <w:rFonts w:ascii="Garamond" w:hAnsi="Garamond"/>
        </w:rPr>
        <w:t xml:space="preserve">FCEVs refuel more quickly than BEVs, and </w:t>
      </w:r>
      <w:r w:rsidR="00A5667A">
        <w:rPr>
          <w:rFonts w:ascii="Garamond" w:hAnsi="Garamond"/>
        </w:rPr>
        <w:t xml:space="preserve">therefore hydrogen stations may be more commonly shared with light-duty fleets). </w:t>
      </w:r>
      <w:r w:rsidR="00A17E2D">
        <w:rPr>
          <w:rFonts w:ascii="Garamond" w:hAnsi="Garamond"/>
        </w:rPr>
        <w:t xml:space="preserve">Whereas diesel stations are already available to service fleets, </w:t>
      </w:r>
      <w:r w:rsidR="00AF12CE">
        <w:rPr>
          <w:rFonts w:ascii="Garamond" w:hAnsi="Garamond"/>
        </w:rPr>
        <w:t xml:space="preserve">fleet operators may have to pay to install charging and hydrogen infrastructure where it is not publicly available. To </w:t>
      </w:r>
      <w:r w:rsidR="00360D33">
        <w:rPr>
          <w:rFonts w:ascii="Garamond" w:hAnsi="Garamond"/>
        </w:rPr>
        <w:t>reduce ZEV operational costs, t</w:t>
      </w:r>
      <w:r w:rsidR="009A7400" w:rsidRPr="009A7400">
        <w:rPr>
          <w:rFonts w:ascii="Garamond" w:hAnsi="Garamond"/>
        </w:rPr>
        <w:t xml:space="preserve">he United Kingdom’s Department for Transport will </w:t>
      </w:r>
      <w:r w:rsidR="009A7400" w:rsidRPr="009A7400">
        <w:rPr>
          <w:rFonts w:ascii="Garamond" w:hAnsi="Garamond"/>
        </w:rPr>
        <w:lastRenderedPageBreak/>
        <w:t xml:space="preserve">provide 500 million pounds sterling to support </w:t>
      </w:r>
      <w:r w:rsidR="005C0BB7">
        <w:rPr>
          <w:rFonts w:ascii="Garamond" w:hAnsi="Garamond"/>
        </w:rPr>
        <w:t xml:space="preserve">public </w:t>
      </w:r>
      <w:r w:rsidR="005F53F8">
        <w:rPr>
          <w:rFonts w:ascii="Garamond" w:hAnsi="Garamond"/>
        </w:rPr>
        <w:t xml:space="preserve">DC fast </w:t>
      </w:r>
      <w:r w:rsidR="005C0BB7">
        <w:rPr>
          <w:rFonts w:ascii="Garamond" w:hAnsi="Garamond"/>
        </w:rPr>
        <w:t xml:space="preserve">charging and hydrogen </w:t>
      </w:r>
      <w:r w:rsidR="009A7400" w:rsidRPr="009A7400">
        <w:rPr>
          <w:rFonts w:ascii="Garamond" w:hAnsi="Garamond"/>
        </w:rPr>
        <w:t>installations through 2025</w:t>
      </w:r>
      <w:r w:rsidR="005F53F8">
        <w:rPr>
          <w:rFonts w:ascii="Garamond" w:hAnsi="Garamond"/>
        </w:rPr>
        <w:t xml:space="preserve"> (</w:t>
      </w:r>
      <w:r w:rsidR="001708BF">
        <w:rPr>
          <w:rFonts w:ascii="Garamond" w:hAnsi="Garamond"/>
        </w:rPr>
        <w:t>UK Low-Emission Vehicles, 2020)</w:t>
      </w:r>
      <w:r w:rsidR="009A7400">
        <w:rPr>
          <w:rFonts w:ascii="Garamond" w:hAnsi="Garamond"/>
        </w:rPr>
        <w:t>.</w:t>
      </w:r>
      <w:r w:rsidR="00E36F81">
        <w:rPr>
          <w:rFonts w:ascii="Garamond" w:hAnsi="Garamond"/>
        </w:rPr>
        <w:t xml:space="preserve"> </w:t>
      </w:r>
      <w:r w:rsidR="00E36F81" w:rsidRPr="00E36F81">
        <w:rPr>
          <w:rFonts w:ascii="Garamond" w:hAnsi="Garamond"/>
        </w:rPr>
        <w:t>The state of New York has support ZE</w:t>
      </w:r>
      <w:r w:rsidR="00E36F81">
        <w:rPr>
          <w:rFonts w:ascii="Garamond" w:hAnsi="Garamond"/>
        </w:rPr>
        <w:t>C</w:t>
      </w:r>
      <w:r w:rsidR="00E36F81" w:rsidRPr="00E36F81">
        <w:rPr>
          <w:rFonts w:ascii="Garamond" w:hAnsi="Garamond"/>
        </w:rPr>
        <w:t xml:space="preserve">Vs and other charging applications through its </w:t>
      </w:r>
      <w:proofErr w:type="spellStart"/>
      <w:r w:rsidR="00E36F81" w:rsidRPr="00E36F81">
        <w:rPr>
          <w:rFonts w:ascii="Garamond" w:hAnsi="Garamond"/>
        </w:rPr>
        <w:t>EVolveNY</w:t>
      </w:r>
      <w:proofErr w:type="spellEnd"/>
      <w:r w:rsidR="00E36F81" w:rsidRPr="00E36F81">
        <w:rPr>
          <w:rFonts w:ascii="Garamond" w:hAnsi="Garamond"/>
        </w:rPr>
        <w:t xml:space="preserve"> program that invests $250 million in targeted high-speed corridor charging projects</w:t>
      </w:r>
      <w:r w:rsidR="001708BF">
        <w:rPr>
          <w:rFonts w:ascii="Garamond" w:hAnsi="Garamond"/>
        </w:rPr>
        <w:t xml:space="preserve"> (NYPA, 2020)</w:t>
      </w:r>
      <w:r w:rsidR="00E36F81">
        <w:rPr>
          <w:rFonts w:ascii="Garamond" w:hAnsi="Garamond"/>
        </w:rPr>
        <w:t xml:space="preserve">. </w:t>
      </w:r>
      <w:r w:rsidR="00A17E2D">
        <w:rPr>
          <w:rFonts w:ascii="Garamond" w:hAnsi="Garamond"/>
        </w:rPr>
        <w:t xml:space="preserve">The </w:t>
      </w:r>
      <w:r w:rsidR="00360D33">
        <w:rPr>
          <w:rFonts w:ascii="Garamond" w:hAnsi="Garamond"/>
        </w:rPr>
        <w:t xml:space="preserve">California </w:t>
      </w:r>
      <w:r w:rsidR="00456205">
        <w:rPr>
          <w:rFonts w:ascii="Garamond" w:hAnsi="Garamond"/>
        </w:rPr>
        <w:t xml:space="preserve">Energy Commission </w:t>
      </w:r>
      <w:r w:rsidR="003679F9">
        <w:rPr>
          <w:rFonts w:ascii="Garamond" w:hAnsi="Garamond"/>
        </w:rPr>
        <w:t xml:space="preserve">will invest up to $20 million annually to develop </w:t>
      </w:r>
      <w:r w:rsidR="008E66CC">
        <w:rPr>
          <w:rFonts w:ascii="Garamond" w:hAnsi="Garamond"/>
        </w:rPr>
        <w:t>up to 100 hydrogen stations that enable FCEVs to travel along freight hubs and corridors</w:t>
      </w:r>
      <w:r w:rsidR="001708BF">
        <w:rPr>
          <w:rFonts w:ascii="Garamond" w:hAnsi="Garamond"/>
        </w:rPr>
        <w:t xml:space="preserve"> (CARB, 2020g)</w:t>
      </w:r>
      <w:r w:rsidR="008E66CC">
        <w:rPr>
          <w:rFonts w:ascii="Garamond" w:hAnsi="Garamond"/>
        </w:rPr>
        <w:t>.</w:t>
      </w:r>
      <w:r w:rsidR="00456205">
        <w:rPr>
          <w:rFonts w:ascii="Garamond" w:hAnsi="Garamond"/>
        </w:rPr>
        <w:t xml:space="preserve"> </w:t>
      </w:r>
    </w:p>
    <w:p w14:paraId="12D3EB0A" w14:textId="59262F59" w:rsidR="004B7902" w:rsidRDefault="00536EDC" w:rsidP="00CE3C2B">
      <w:pPr>
        <w:spacing w:before="240" w:after="240"/>
        <w:jc w:val="both"/>
        <w:rPr>
          <w:rFonts w:ascii="Garamond" w:hAnsi="Garamond"/>
        </w:rPr>
      </w:pPr>
      <w:r w:rsidRPr="00B91E31">
        <w:rPr>
          <w:rFonts w:ascii="Garamond" w:hAnsi="Garamond"/>
          <w:b/>
          <w:bCs/>
        </w:rPr>
        <w:t>Utility Regulatory Policy:</w:t>
      </w:r>
      <w:r w:rsidRPr="00B91E31">
        <w:rPr>
          <w:rFonts w:ascii="Garamond" w:hAnsi="Garamond"/>
        </w:rPr>
        <w:t xml:space="preserve"> Electric utilities are knowledgeable industry participants and may be able to accelerate ZECV infrastructure installations to facilitate ZECV adoption, but utility commissions or legislation may inhibit utilities’ permission to participate in the market. California legislators and regulators recently combined to enable electric utilities’ efforts to electrify transportation. In 2018 the</w:t>
      </w:r>
      <w:hyperlink r:id="rId50">
        <w:r w:rsidRPr="00B91E31">
          <w:rPr>
            <w:rFonts w:ascii="Garamond" w:hAnsi="Garamond"/>
          </w:rPr>
          <w:t xml:space="preserve"> </w:t>
        </w:r>
      </w:hyperlink>
      <w:r w:rsidRPr="00B91E31">
        <w:rPr>
          <w:rFonts w:ascii="Garamond" w:hAnsi="Garamond"/>
        </w:rPr>
        <w:t>California Public Utilities Commission gave approval for the use of nearly $800 million in ratepayer funds, with</w:t>
      </w:r>
      <w:hyperlink r:id="rId51">
        <w:r w:rsidRPr="00B91E31">
          <w:rPr>
            <w:rFonts w:ascii="Garamond" w:hAnsi="Garamond"/>
          </w:rPr>
          <w:t xml:space="preserve"> </w:t>
        </w:r>
      </w:hyperlink>
      <w:r w:rsidRPr="00B91E31">
        <w:rPr>
          <w:rFonts w:ascii="Garamond" w:hAnsi="Garamond"/>
        </w:rPr>
        <w:t>$579 million approved to deploy infrastructure primarily to support commercial vehicle fleets using zero-emission vehicles</w:t>
      </w:r>
      <w:r>
        <w:rPr>
          <w:rFonts w:ascii="Garamond" w:hAnsi="Garamond"/>
        </w:rPr>
        <w:t xml:space="preserve"> (CPUC, 2018) (CPUC, 2018a).</w:t>
      </w:r>
      <w:r w:rsidRPr="00B91E31">
        <w:rPr>
          <w:rFonts w:ascii="Garamond" w:hAnsi="Garamond"/>
        </w:rPr>
        <w:t xml:space="preserve"> The commission also supported new pricing policies that are favorable to the fleets and enable them to avoid costly demand charges</w:t>
      </w:r>
      <w:r>
        <w:rPr>
          <w:rFonts w:ascii="Garamond" w:hAnsi="Garamond"/>
        </w:rPr>
        <w:t xml:space="preserve">, such as Pacific Gas and Electric’s </w:t>
      </w:r>
      <w:r w:rsidRPr="00506C04">
        <w:rPr>
          <w:rFonts w:ascii="Garamond" w:hAnsi="Garamond"/>
        </w:rPr>
        <w:t>commercial vehicle subscription service that allows fleet operators to pay a monthly fee to avoid costly demand charges, reducing exorbitant vehicle operation costs for charging at high rates while creating a steady revenue stream for the utilit</w:t>
      </w:r>
      <w:r>
        <w:rPr>
          <w:rFonts w:ascii="Garamond" w:hAnsi="Garamond"/>
        </w:rPr>
        <w:t>y</w:t>
      </w:r>
      <w:r w:rsidR="00424623">
        <w:rPr>
          <w:rFonts w:ascii="Garamond" w:hAnsi="Garamond"/>
        </w:rPr>
        <w:t xml:space="preserve"> (PG&amp;E, 2020)</w:t>
      </w:r>
      <w:r>
        <w:rPr>
          <w:rFonts w:ascii="Garamond" w:hAnsi="Garamond"/>
        </w:rPr>
        <w:t>.</w:t>
      </w:r>
    </w:p>
    <w:p w14:paraId="35447108" w14:textId="6D9B433C" w:rsidR="0041418A" w:rsidRPr="00B91E31" w:rsidRDefault="0041418A" w:rsidP="00CE3C2B">
      <w:pPr>
        <w:jc w:val="both"/>
        <w:rPr>
          <w:rFonts w:ascii="Garamond" w:hAnsi="Garamond"/>
        </w:rPr>
      </w:pPr>
      <w:r w:rsidRPr="00CE3C2B">
        <w:rPr>
          <w:rFonts w:ascii="Garamond" w:hAnsi="Garamond"/>
          <w:b/>
          <w:bCs/>
        </w:rPr>
        <w:t xml:space="preserve">Aligned </w:t>
      </w:r>
      <w:r w:rsidR="005516E5">
        <w:rPr>
          <w:rFonts w:ascii="Garamond" w:hAnsi="Garamond"/>
          <w:b/>
          <w:bCs/>
        </w:rPr>
        <w:t>Policies</w:t>
      </w:r>
      <w:r w:rsidR="009003A2">
        <w:rPr>
          <w:rFonts w:ascii="Garamond" w:hAnsi="Garamond"/>
        </w:rPr>
        <w:t>:</w:t>
      </w:r>
      <w:r w:rsidRPr="0041418A">
        <w:rPr>
          <w:rFonts w:ascii="Garamond" w:hAnsi="Garamond"/>
        </w:rPr>
        <w:t xml:space="preserve"> </w:t>
      </w:r>
      <w:r w:rsidR="006E3745">
        <w:rPr>
          <w:rFonts w:ascii="Garamond" w:hAnsi="Garamond"/>
        </w:rPr>
        <w:t>Jurisdictions sharing</w:t>
      </w:r>
      <w:r w:rsidR="009003A2">
        <w:rPr>
          <w:rFonts w:ascii="Garamond" w:hAnsi="Garamond"/>
        </w:rPr>
        <w:t xml:space="preserve"> </w:t>
      </w:r>
      <w:r w:rsidR="006E3745">
        <w:rPr>
          <w:rFonts w:ascii="Garamond" w:hAnsi="Garamond"/>
        </w:rPr>
        <w:t xml:space="preserve">vehicle emissions targets, deployment goals, and accessible infrastructure standards </w:t>
      </w:r>
      <w:r w:rsidR="00506B17">
        <w:rPr>
          <w:rFonts w:ascii="Garamond" w:hAnsi="Garamond"/>
        </w:rPr>
        <w:t xml:space="preserve">ease </w:t>
      </w:r>
      <w:r w:rsidR="00325B12">
        <w:rPr>
          <w:rFonts w:ascii="Garamond" w:hAnsi="Garamond"/>
        </w:rPr>
        <w:t xml:space="preserve">burdens on manufacturers and improve the efficiency of adopting new technologies. </w:t>
      </w:r>
      <w:r w:rsidR="008177BD">
        <w:rPr>
          <w:rFonts w:ascii="Garamond" w:hAnsi="Garamond"/>
        </w:rPr>
        <w:t xml:space="preserve">In the </w:t>
      </w:r>
      <w:r w:rsidR="007B4EC7">
        <w:rPr>
          <w:rFonts w:ascii="Garamond" w:hAnsi="Garamond"/>
        </w:rPr>
        <w:t>deliberation over U.S. light-duty fuel economy standards, for instance, automakers</w:t>
      </w:r>
      <w:r w:rsidR="00D92958">
        <w:rPr>
          <w:rFonts w:ascii="Garamond" w:hAnsi="Garamond"/>
        </w:rPr>
        <w:t xml:space="preserve"> have</w:t>
      </w:r>
      <w:r w:rsidR="007B4EC7">
        <w:rPr>
          <w:rFonts w:ascii="Garamond" w:hAnsi="Garamond"/>
        </w:rPr>
        <w:t xml:space="preserve"> prioritized </w:t>
      </w:r>
      <w:r w:rsidR="00D92958">
        <w:rPr>
          <w:rFonts w:ascii="Garamond" w:hAnsi="Garamond"/>
        </w:rPr>
        <w:t>regulatory</w:t>
      </w:r>
      <w:r w:rsidR="007B4EC7">
        <w:rPr>
          <w:rFonts w:ascii="Garamond" w:hAnsi="Garamond"/>
        </w:rPr>
        <w:t xml:space="preserve"> </w:t>
      </w:r>
      <w:r w:rsidR="00711313">
        <w:rPr>
          <w:rFonts w:ascii="Garamond" w:hAnsi="Garamond"/>
        </w:rPr>
        <w:t xml:space="preserve">certainty </w:t>
      </w:r>
      <w:r w:rsidR="007B4EC7">
        <w:rPr>
          <w:rFonts w:ascii="Garamond" w:hAnsi="Garamond"/>
        </w:rPr>
        <w:t>across</w:t>
      </w:r>
      <w:r w:rsidR="0052217A">
        <w:rPr>
          <w:rFonts w:ascii="Garamond" w:hAnsi="Garamond"/>
        </w:rPr>
        <w:t xml:space="preserve"> all markets</w:t>
      </w:r>
      <w:r w:rsidR="00711313">
        <w:rPr>
          <w:rFonts w:ascii="Garamond" w:hAnsi="Garamond"/>
        </w:rPr>
        <w:t xml:space="preserve"> rather than </w:t>
      </w:r>
      <w:r w:rsidR="00B04C00">
        <w:rPr>
          <w:rFonts w:ascii="Garamond" w:hAnsi="Garamond"/>
        </w:rPr>
        <w:t>meet “a patchwork” of regulatory standards</w:t>
      </w:r>
      <w:r w:rsidR="00424623">
        <w:rPr>
          <w:rFonts w:ascii="Garamond" w:hAnsi="Garamond"/>
        </w:rPr>
        <w:t xml:space="preserve"> (Washington Post, 2020)</w:t>
      </w:r>
      <w:r w:rsidR="0052217A">
        <w:rPr>
          <w:rFonts w:ascii="Garamond" w:hAnsi="Garamond"/>
        </w:rPr>
        <w:t>.</w:t>
      </w:r>
      <w:r w:rsidR="004837E0">
        <w:rPr>
          <w:rFonts w:ascii="Garamond" w:hAnsi="Garamond"/>
        </w:rPr>
        <w:t xml:space="preserve"> </w:t>
      </w:r>
      <w:r w:rsidR="005A41B3">
        <w:rPr>
          <w:rFonts w:ascii="Garamond" w:hAnsi="Garamond"/>
        </w:rPr>
        <w:t xml:space="preserve">To support the </w:t>
      </w:r>
      <w:r w:rsidR="0052217A">
        <w:rPr>
          <w:rFonts w:ascii="Garamond" w:hAnsi="Garamond"/>
        </w:rPr>
        <w:t xml:space="preserve">ZECV </w:t>
      </w:r>
      <w:r w:rsidR="005A41B3">
        <w:rPr>
          <w:rFonts w:ascii="Garamond" w:hAnsi="Garamond"/>
        </w:rPr>
        <w:t xml:space="preserve">transition, </w:t>
      </w:r>
      <w:r w:rsidRPr="0041418A">
        <w:rPr>
          <w:rFonts w:ascii="Garamond" w:hAnsi="Garamond"/>
        </w:rPr>
        <w:t>fifteen leading states across the United States have are developing a shared set of principles to provide financial and non-financial incentives, support utility actions for developing charging infrastructure, develop uniform standards, and other actions (ICCT, 2020). (NESCAUM, 2020).</w:t>
      </w:r>
      <w:r w:rsidR="00376114">
        <w:rPr>
          <w:rFonts w:ascii="Garamond" w:hAnsi="Garamond"/>
        </w:rPr>
        <w:t xml:space="preserve"> Similarly, governments can set standards for charging and fueling stations that have interoperable hardware and software</w:t>
      </w:r>
      <w:r w:rsidR="00835864">
        <w:rPr>
          <w:rFonts w:ascii="Garamond" w:hAnsi="Garamond"/>
        </w:rPr>
        <w:t xml:space="preserve">, ensuring </w:t>
      </w:r>
      <w:r w:rsidR="009618D7">
        <w:rPr>
          <w:rFonts w:ascii="Garamond" w:hAnsi="Garamond"/>
        </w:rPr>
        <w:t>that operators are able to connect their vehicles to the stations, interact with the station, and make easy payments.</w:t>
      </w:r>
      <w:r w:rsidR="003A1D71" w:rsidRPr="003A1D71">
        <w:t xml:space="preserve"> </w:t>
      </w:r>
      <w:r w:rsidR="001B3550">
        <w:rPr>
          <w:rFonts w:ascii="Garamond" w:hAnsi="Garamond"/>
        </w:rPr>
        <w:t>The state of C</w:t>
      </w:r>
      <w:r w:rsidR="003A1D71" w:rsidRPr="003A1D71">
        <w:rPr>
          <w:rFonts w:ascii="Garamond" w:hAnsi="Garamond"/>
        </w:rPr>
        <w:t xml:space="preserve">alifornia requires all charging stations to offer </w:t>
      </w:r>
      <w:r w:rsidR="00970DBF">
        <w:rPr>
          <w:rFonts w:ascii="Garamond" w:hAnsi="Garamond"/>
        </w:rPr>
        <w:t>open charge point interface (</w:t>
      </w:r>
      <w:r w:rsidR="003A1D71" w:rsidRPr="003A1D71">
        <w:rPr>
          <w:rFonts w:ascii="Garamond" w:hAnsi="Garamond"/>
        </w:rPr>
        <w:t>OCPI</w:t>
      </w:r>
      <w:r w:rsidR="00970DBF">
        <w:rPr>
          <w:rFonts w:ascii="Garamond" w:hAnsi="Garamond"/>
        </w:rPr>
        <w:t>)</w:t>
      </w:r>
      <w:r w:rsidR="003A1D71" w:rsidRPr="003A1D71">
        <w:rPr>
          <w:rFonts w:ascii="Garamond" w:hAnsi="Garamond"/>
        </w:rPr>
        <w:t xml:space="preserve"> and allows for other additional billing standards</w:t>
      </w:r>
      <w:r w:rsidR="009508CE">
        <w:rPr>
          <w:rFonts w:ascii="Garamond" w:hAnsi="Garamond"/>
        </w:rPr>
        <w:t xml:space="preserve"> (CARB, 2019)</w:t>
      </w:r>
      <w:r w:rsidR="0089780F">
        <w:rPr>
          <w:rFonts w:ascii="Garamond" w:hAnsi="Garamond"/>
        </w:rPr>
        <w:t>.</w:t>
      </w:r>
    </w:p>
    <w:p w14:paraId="14BCB474" w14:textId="77777777" w:rsidR="0041418A" w:rsidRPr="00B91E31" w:rsidRDefault="0041418A" w:rsidP="00CE3C2B">
      <w:pPr>
        <w:spacing w:before="240" w:after="240"/>
        <w:jc w:val="both"/>
        <w:rPr>
          <w:rFonts w:ascii="Garamond" w:hAnsi="Garamond"/>
        </w:rPr>
      </w:pPr>
    </w:p>
    <w:p w14:paraId="76415517" w14:textId="77777777" w:rsidR="00A24767" w:rsidRDefault="00A24767">
      <w:pPr>
        <w:spacing w:line="276" w:lineRule="auto"/>
        <w:rPr>
          <w:sz w:val="40"/>
          <w:szCs w:val="40"/>
        </w:rPr>
      </w:pPr>
      <w:bookmarkStart w:id="39" w:name="_i19psbab71j1" w:colFirst="0" w:colLast="0"/>
      <w:bookmarkEnd w:id="39"/>
      <w:r>
        <w:br w:type="page"/>
      </w:r>
    </w:p>
    <w:p w14:paraId="44912673" w14:textId="70EE04F6" w:rsidR="00AD4C97" w:rsidRDefault="00AD4C97">
      <w:pPr>
        <w:pStyle w:val="Heading1"/>
        <w:keepNext w:val="0"/>
        <w:keepLines w:val="0"/>
        <w:spacing w:after="80"/>
      </w:pPr>
      <w:bookmarkStart w:id="40" w:name="_Toc53065373"/>
      <w:r>
        <w:lastRenderedPageBreak/>
        <w:t>Recommendations</w:t>
      </w:r>
      <w:bookmarkEnd w:id="40"/>
    </w:p>
    <w:p w14:paraId="07DBEFFC" w14:textId="276D0015" w:rsidR="00AD4C97" w:rsidRDefault="00AD4C97" w:rsidP="00CE3C2B">
      <w:pPr>
        <w:spacing w:before="240" w:after="240"/>
        <w:jc w:val="both"/>
      </w:pPr>
      <w:r w:rsidRPr="00B91E31">
        <w:rPr>
          <w:rFonts w:ascii="Garamond" w:hAnsi="Garamond"/>
        </w:rPr>
        <w:t>The beachhead model approach to identifying, investing in, and expanding to new ZECV markets has already been demonstrated in first-success markets around the world. Regions that adopt and follow the beachhead theory of change will improve urban air quality and reduce GHG emissions while investing in a clean transportation economy. Policymakers should adopt enabling policies to accelerate the adoption of ZECVs such as regulations, purchase incentives, congestion pricing, preferred access or exclusion lanes and zones, and procurement requirements. The parallel implementation of such policies will send stronger signals to manufacturers to accelerate production volumes, which in turn will lower vehicle costs, encouraging fleets to speed ZECV adoption worldwide, and ultimately facilitating the large-scale transition to a zero-emission commercial transportation sector.</w:t>
      </w:r>
      <w:bookmarkStart w:id="41" w:name="_fvsqp0bern5r" w:colFirst="0" w:colLast="0"/>
      <w:bookmarkEnd w:id="41"/>
    </w:p>
    <w:p w14:paraId="410E8CCE" w14:textId="77777777" w:rsidR="00DC5FEF" w:rsidRDefault="00DC5FEF">
      <w:pPr>
        <w:spacing w:line="276" w:lineRule="auto"/>
        <w:rPr>
          <w:sz w:val="40"/>
          <w:szCs w:val="40"/>
        </w:rPr>
      </w:pPr>
      <w:r>
        <w:br w:type="page"/>
      </w:r>
    </w:p>
    <w:p w14:paraId="18B5B80E" w14:textId="4F13AE32" w:rsidR="00AD4C97" w:rsidRDefault="00AD4C97" w:rsidP="00793031">
      <w:pPr>
        <w:pStyle w:val="Heading1"/>
        <w:keepNext w:val="0"/>
        <w:keepLines w:val="0"/>
        <w:spacing w:after="80"/>
      </w:pPr>
      <w:bookmarkStart w:id="42" w:name="_Toc53065374"/>
      <w:r>
        <w:lastRenderedPageBreak/>
        <w:t>Appendix</w:t>
      </w:r>
      <w:bookmarkEnd w:id="42"/>
    </w:p>
    <w:p w14:paraId="149200D8" w14:textId="40372D4B" w:rsidR="00AD4C97" w:rsidRDefault="00AD4C97" w:rsidP="00405327"/>
    <w:p w14:paraId="07A8E503" w14:textId="1BA8DC67" w:rsidR="00AD4C97" w:rsidRPr="00736BFD" w:rsidRDefault="00AD4C97" w:rsidP="00CE3C2B">
      <w:pPr>
        <w:jc w:val="both"/>
        <w:rPr>
          <w:rFonts w:ascii="Garamond" w:hAnsi="Garamond"/>
        </w:rPr>
      </w:pPr>
      <w:r w:rsidRPr="00736BFD">
        <w:rPr>
          <w:rFonts w:ascii="Garamond" w:hAnsi="Garamond"/>
        </w:rPr>
        <w:t>Classification of vehicles var</w:t>
      </w:r>
      <w:r w:rsidR="000C33EF">
        <w:rPr>
          <w:rFonts w:ascii="Garamond" w:hAnsi="Garamond"/>
        </w:rPr>
        <w:t>ies</w:t>
      </w:r>
      <w:r w:rsidRPr="00736BFD">
        <w:rPr>
          <w:rFonts w:ascii="Garamond" w:hAnsi="Garamond"/>
        </w:rPr>
        <w:t xml:space="preserve"> greatly </w:t>
      </w:r>
      <w:r w:rsidR="000C33EF">
        <w:rPr>
          <w:rFonts w:ascii="Garamond" w:hAnsi="Garamond"/>
        </w:rPr>
        <w:t>across</w:t>
      </w:r>
      <w:r w:rsidR="000C33EF" w:rsidRPr="00736BFD">
        <w:rPr>
          <w:rFonts w:ascii="Garamond" w:hAnsi="Garamond"/>
        </w:rPr>
        <w:t xml:space="preserve"> </w:t>
      </w:r>
      <w:r w:rsidRPr="00736BFD">
        <w:rPr>
          <w:rFonts w:ascii="Garamond" w:hAnsi="Garamond"/>
        </w:rPr>
        <w:t xml:space="preserve">countries and regions. In the United States vehicles are classified primarily by gross vehicle weight rating, or the estimated </w:t>
      </w:r>
      <w:r w:rsidR="00590F23">
        <w:rPr>
          <w:rFonts w:ascii="Garamond" w:hAnsi="Garamond"/>
        </w:rPr>
        <w:t xml:space="preserve">maximum </w:t>
      </w:r>
      <w:r w:rsidRPr="00736BFD">
        <w:rPr>
          <w:rFonts w:ascii="Garamond" w:hAnsi="Garamond"/>
        </w:rPr>
        <w:t>curb weight of a vehicle with fuel and payload. In Europe and elsewhere, by contrast, several other factors are used to categorize vehicles</w:t>
      </w:r>
      <w:r w:rsidR="00590F23">
        <w:rPr>
          <w:rFonts w:ascii="Garamond" w:hAnsi="Garamond"/>
        </w:rPr>
        <w:t>:</w:t>
      </w:r>
      <w:r w:rsidRPr="00736BFD">
        <w:rPr>
          <w:rFonts w:ascii="Garamond" w:hAnsi="Garamond"/>
        </w:rPr>
        <w:t xml:space="preserve"> </w:t>
      </w:r>
      <w:r w:rsidR="00590F23">
        <w:rPr>
          <w:rFonts w:ascii="Garamond" w:hAnsi="Garamond"/>
        </w:rPr>
        <w:t>v</w:t>
      </w:r>
      <w:r w:rsidRPr="00736BFD">
        <w:rPr>
          <w:rFonts w:ascii="Garamond" w:hAnsi="Garamond"/>
        </w:rPr>
        <w:t xml:space="preserve">ehicle length, gross vehicle weight (but not rating), axle configuration, payload, and passenger capacity all contribute to classifying vehicles. </w:t>
      </w:r>
      <w:r w:rsidR="00964B09">
        <w:rPr>
          <w:rFonts w:ascii="Garamond" w:hAnsi="Garamond"/>
        </w:rPr>
        <w:t>Table A1</w:t>
      </w:r>
      <w:r w:rsidR="00871226">
        <w:rPr>
          <w:rFonts w:ascii="Garamond" w:hAnsi="Garamond"/>
        </w:rPr>
        <w:t xml:space="preserve">, derived from </w:t>
      </w:r>
      <w:r w:rsidR="0026639F">
        <w:rPr>
          <w:rFonts w:ascii="Garamond" w:hAnsi="Garamond"/>
        </w:rPr>
        <w:t>International Energy Agency research,</w:t>
      </w:r>
      <w:r w:rsidRPr="00736BFD">
        <w:rPr>
          <w:rFonts w:ascii="Garamond" w:hAnsi="Garamond"/>
        </w:rPr>
        <w:t xml:space="preserve"> show</w:t>
      </w:r>
      <w:r w:rsidR="006D342A" w:rsidRPr="00736BFD">
        <w:rPr>
          <w:rFonts w:ascii="Garamond" w:hAnsi="Garamond"/>
        </w:rPr>
        <w:t>s</w:t>
      </w:r>
      <w:r w:rsidRPr="00736BFD">
        <w:rPr>
          <w:rFonts w:ascii="Garamond" w:hAnsi="Garamond"/>
        </w:rPr>
        <w:t xml:space="preserve"> how </w:t>
      </w:r>
      <w:r w:rsidR="00853690">
        <w:rPr>
          <w:rFonts w:ascii="Garamond" w:hAnsi="Garamond"/>
        </w:rPr>
        <w:t xml:space="preserve">selected </w:t>
      </w:r>
      <w:r w:rsidRPr="00736BFD">
        <w:rPr>
          <w:rFonts w:ascii="Garamond" w:hAnsi="Garamond"/>
        </w:rPr>
        <w:t xml:space="preserve">countries and regions classify their commercial </w:t>
      </w:r>
      <w:r w:rsidR="00BA0B2A">
        <w:rPr>
          <w:rFonts w:ascii="Garamond" w:hAnsi="Garamond"/>
        </w:rPr>
        <w:t>truck</w:t>
      </w:r>
      <w:r w:rsidR="00BA0B2A" w:rsidRPr="00736BFD">
        <w:rPr>
          <w:rFonts w:ascii="Garamond" w:hAnsi="Garamond"/>
        </w:rPr>
        <w:t xml:space="preserve"> </w:t>
      </w:r>
      <w:r w:rsidRPr="00736BFD">
        <w:rPr>
          <w:rFonts w:ascii="Garamond" w:hAnsi="Garamond"/>
        </w:rPr>
        <w:t>segments</w:t>
      </w:r>
      <w:r w:rsidR="000A78A5">
        <w:rPr>
          <w:rFonts w:ascii="Garamond" w:hAnsi="Garamond"/>
        </w:rPr>
        <w:t xml:space="preserve"> </w:t>
      </w:r>
      <w:r w:rsidR="0026639F" w:rsidRPr="0026639F">
        <w:rPr>
          <w:rFonts w:ascii="Garamond" w:hAnsi="Garamond"/>
          <w:sz w:val="22"/>
          <w:szCs w:val="22"/>
        </w:rPr>
        <w:t>(IEA, 2017)</w:t>
      </w:r>
      <w:r w:rsidRPr="0026639F">
        <w:rPr>
          <w:rFonts w:ascii="Garamond" w:hAnsi="Garamond"/>
        </w:rPr>
        <w:t>.</w:t>
      </w:r>
      <w:r w:rsidRPr="00736BFD">
        <w:rPr>
          <w:rFonts w:ascii="Garamond" w:hAnsi="Garamond"/>
        </w:rPr>
        <w:t xml:space="preserve"> </w:t>
      </w:r>
    </w:p>
    <w:p w14:paraId="1E46C035" w14:textId="1B486FD2" w:rsidR="00AD4C97" w:rsidRDefault="00AD4C97" w:rsidP="00405327"/>
    <w:p w14:paraId="76FCDFC0" w14:textId="10755A0D" w:rsidR="00BE77EA" w:rsidRPr="00CE3C2B" w:rsidRDefault="000767B2" w:rsidP="00CE3C2B">
      <w:pPr>
        <w:pStyle w:val="Tables"/>
        <w:rPr>
          <w:rStyle w:val="Emphasis"/>
          <w:bCs/>
          <w:i w:val="0"/>
          <w:iCs w:val="0"/>
        </w:rPr>
      </w:pPr>
      <w:bookmarkStart w:id="43" w:name="_Toc53065384"/>
      <w:r w:rsidRPr="00CE3C2B">
        <w:rPr>
          <w:rStyle w:val="Emphasis"/>
          <w:bCs/>
          <w:i w:val="0"/>
          <w:iCs w:val="0"/>
        </w:rPr>
        <w:t>Table A1:</w:t>
      </w:r>
      <w:r w:rsidR="00AD4C97" w:rsidRPr="00CE3C2B">
        <w:rPr>
          <w:rStyle w:val="Emphasis"/>
          <w:bCs/>
          <w:i w:val="0"/>
          <w:iCs w:val="0"/>
        </w:rPr>
        <w:t xml:space="preserve"> </w:t>
      </w:r>
      <w:r w:rsidR="002E5060" w:rsidRPr="00CE3C2B">
        <w:rPr>
          <w:rStyle w:val="Emphasis"/>
          <w:bCs/>
          <w:i w:val="0"/>
          <w:iCs w:val="0"/>
        </w:rPr>
        <w:t xml:space="preserve">Truck </w:t>
      </w:r>
      <w:r w:rsidR="00AD4C97" w:rsidRPr="00CE3C2B">
        <w:rPr>
          <w:rStyle w:val="Emphasis"/>
          <w:bCs/>
          <w:i w:val="0"/>
          <w:iCs w:val="0"/>
        </w:rPr>
        <w:t>Classification</w:t>
      </w:r>
      <w:r w:rsidR="002E5060" w:rsidRPr="00CE3C2B">
        <w:rPr>
          <w:rStyle w:val="Emphasis"/>
          <w:bCs/>
          <w:i w:val="0"/>
          <w:iCs w:val="0"/>
        </w:rPr>
        <w:t xml:space="preserve"> in</w:t>
      </w:r>
      <w:r w:rsidR="00AD4C97" w:rsidRPr="00CE3C2B">
        <w:rPr>
          <w:rStyle w:val="Emphasis"/>
          <w:bCs/>
          <w:i w:val="0"/>
          <w:iCs w:val="0"/>
        </w:rPr>
        <w:t xml:space="preserve"> United States and Canada</w:t>
      </w:r>
      <w:r w:rsidR="002E5060" w:rsidRPr="00CE3C2B">
        <w:rPr>
          <w:rStyle w:val="Emphasis"/>
          <w:bCs/>
          <w:i w:val="0"/>
          <w:iCs w:val="0"/>
        </w:rPr>
        <w:t>; European Union; China; and Japan</w:t>
      </w:r>
      <w:bookmarkEnd w:id="43"/>
      <w:r w:rsidR="00525D12" w:rsidRPr="00CE3C2B">
        <w:rPr>
          <w:rStyle w:val="Emphasis"/>
          <w:bCs/>
          <w:i w:val="0"/>
          <w:iCs w:val="0"/>
        </w:rPr>
        <w:t xml:space="preserve"> </w:t>
      </w:r>
    </w:p>
    <w:p w14:paraId="29A7B787" w14:textId="3BE9D3DE" w:rsidR="00BE77EA" w:rsidRDefault="00E9457C" w:rsidP="00DE0BDE">
      <w:r w:rsidRPr="00E9457C">
        <w:rPr>
          <w:noProof/>
        </w:rPr>
        <w:drawing>
          <wp:inline distT="0" distB="0" distL="0" distR="0" wp14:anchorId="6EDF8717" wp14:editId="3BB49A45">
            <wp:extent cx="6141720" cy="4261146"/>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44460" cy="4263047"/>
                    </a:xfrm>
                    <a:prstGeom prst="rect">
                      <a:avLst/>
                    </a:prstGeom>
                    <a:noFill/>
                    <a:ln>
                      <a:noFill/>
                    </a:ln>
                  </pic:spPr>
                </pic:pic>
              </a:graphicData>
            </a:graphic>
          </wp:inline>
        </w:drawing>
      </w:r>
    </w:p>
    <w:p w14:paraId="6A5CF7AA" w14:textId="77777777" w:rsidR="00BE77EA" w:rsidRDefault="00BE77EA" w:rsidP="00DE0BDE"/>
    <w:p w14:paraId="6C100CA6" w14:textId="6EC4391F" w:rsidR="00597765" w:rsidRPr="00736BFD" w:rsidRDefault="00597765" w:rsidP="00CE3C2B">
      <w:pPr>
        <w:spacing w:line="276" w:lineRule="auto"/>
        <w:jc w:val="both"/>
        <w:rPr>
          <w:sz w:val="20"/>
          <w:szCs w:val="20"/>
        </w:rPr>
      </w:pPr>
      <w:r w:rsidRPr="00736BFD">
        <w:rPr>
          <w:rFonts w:ascii="Garamond" w:hAnsi="Garamond"/>
          <w:b/>
          <w:bCs/>
          <w:sz w:val="20"/>
          <w:szCs w:val="20"/>
        </w:rPr>
        <w:t>*</w:t>
      </w:r>
      <w:r w:rsidRPr="00736BFD">
        <w:rPr>
          <w:rFonts w:ascii="Garamond" w:hAnsi="Garamond"/>
          <w:sz w:val="20"/>
          <w:szCs w:val="20"/>
        </w:rPr>
        <w:t xml:space="preserve"> The weights shown are the gross vehicle weight (GVW) (the weight of the vehicle plus the maximum intended payload) for the European Union and Japan, the maximum design weight for the People’s Republic of China, and the gross vehicle weight rating (GVWR) (the maximum recommended operating weight of a vehicle as specified by the manufacturer) for the United States and Canada. These all refer to the same end goal: the maximum designed weight of the vehicle plus its payload. The sole exception is the tractor category, which may carry trailers that exceed maximum weights.</w:t>
      </w:r>
    </w:p>
    <w:p w14:paraId="1C0A7816" w14:textId="77777777" w:rsidR="00BE77EA" w:rsidRPr="00736BFD" w:rsidRDefault="00BE77EA" w:rsidP="00CE3C2B">
      <w:pPr>
        <w:jc w:val="both"/>
        <w:rPr>
          <w:sz w:val="20"/>
          <w:szCs w:val="20"/>
        </w:rPr>
      </w:pPr>
    </w:p>
    <w:p w14:paraId="5C57287F" w14:textId="0F8A900A" w:rsidR="00140A96" w:rsidRPr="00736BFD" w:rsidRDefault="00597765" w:rsidP="00CE3C2B">
      <w:pPr>
        <w:spacing w:line="276" w:lineRule="auto"/>
        <w:jc w:val="both"/>
        <w:rPr>
          <w:rFonts w:ascii="Garamond" w:hAnsi="Garamond"/>
          <w:sz w:val="20"/>
          <w:szCs w:val="20"/>
        </w:rPr>
      </w:pPr>
      <w:r w:rsidRPr="00736BFD">
        <w:rPr>
          <w:rFonts w:ascii="Garamond" w:hAnsi="Garamond"/>
          <w:b/>
          <w:bCs/>
          <w:sz w:val="20"/>
          <w:szCs w:val="20"/>
        </w:rPr>
        <w:t xml:space="preserve">** </w:t>
      </w:r>
      <w:r w:rsidR="00140A96" w:rsidRPr="00736BFD">
        <w:rPr>
          <w:rFonts w:ascii="Garamond" w:hAnsi="Garamond"/>
          <w:sz w:val="20"/>
          <w:szCs w:val="20"/>
        </w:rPr>
        <w:t xml:space="preserve">The weight classes for the United States and Canada are rounded to the nearest tenth of a ton (t). In the United States and Canada, classifications for all trucks are independent of vehicle design (though trailers will be classified and regulated separately through MHDV Phase II Regulations). In the European Union, trucks and trailers / semitrailers are classified </w:t>
      </w:r>
      <w:r w:rsidR="00140A96" w:rsidRPr="00736BFD">
        <w:rPr>
          <w:rFonts w:ascii="Garamond" w:hAnsi="Garamond"/>
          <w:sz w:val="20"/>
          <w:szCs w:val="20"/>
        </w:rPr>
        <w:lastRenderedPageBreak/>
        <w:t>and regulated separately. In China and Japan, (single unit) trucks and tractors are classified and regulated separately. Classification structures in other countries and global regions will differ from those shown in the table.</w:t>
      </w:r>
    </w:p>
    <w:p w14:paraId="0A222E4E" w14:textId="77777777" w:rsidR="00140A96" w:rsidRPr="00736BFD" w:rsidRDefault="00140A96" w:rsidP="00CE3C2B">
      <w:pPr>
        <w:spacing w:line="276" w:lineRule="auto"/>
        <w:jc w:val="both"/>
        <w:rPr>
          <w:rFonts w:ascii="Garamond" w:hAnsi="Garamond"/>
          <w:sz w:val="20"/>
          <w:szCs w:val="20"/>
        </w:rPr>
      </w:pPr>
    </w:p>
    <w:p w14:paraId="3D89EFA6" w14:textId="771E2756" w:rsidR="0081056E" w:rsidRPr="00736BFD" w:rsidRDefault="00597765" w:rsidP="00CE3C2B">
      <w:pPr>
        <w:spacing w:line="276" w:lineRule="auto"/>
        <w:jc w:val="both"/>
        <w:rPr>
          <w:rFonts w:ascii="Garamond" w:hAnsi="Garamond"/>
          <w:sz w:val="20"/>
          <w:szCs w:val="20"/>
        </w:rPr>
      </w:pPr>
      <w:r w:rsidRPr="00736BFD">
        <w:rPr>
          <w:rFonts w:ascii="Garamond" w:hAnsi="Garamond"/>
          <w:b/>
          <w:bCs/>
          <w:sz w:val="20"/>
          <w:szCs w:val="20"/>
        </w:rPr>
        <w:t>***</w:t>
      </w:r>
      <w:r w:rsidRPr="00736BFD">
        <w:rPr>
          <w:rFonts w:ascii="Garamond" w:hAnsi="Garamond"/>
          <w:sz w:val="20"/>
          <w:szCs w:val="20"/>
        </w:rPr>
        <w:t xml:space="preserve"> </w:t>
      </w:r>
      <w:r w:rsidR="00603736" w:rsidRPr="00736BFD">
        <w:rPr>
          <w:rFonts w:ascii="Garamond" w:hAnsi="Garamond"/>
          <w:sz w:val="20"/>
          <w:szCs w:val="20"/>
        </w:rPr>
        <w:t>In the European Union, vehicle categories N1 and N2 are defined in Annex II of Directive 2007/46/EC as vehicles for goods transport with a reference mass (i.e. without payload) exceeding 2,610 kg</w:t>
      </w:r>
      <w:r w:rsidR="0081056E" w:rsidRPr="00736BFD">
        <w:rPr>
          <w:rFonts w:ascii="Garamond" w:hAnsi="Garamond"/>
          <w:sz w:val="20"/>
          <w:szCs w:val="20"/>
        </w:rPr>
        <w:t>.</w:t>
      </w:r>
    </w:p>
    <w:p w14:paraId="1A9ED43B" w14:textId="77777777" w:rsidR="00140A96" w:rsidRPr="00736BFD" w:rsidRDefault="00140A96" w:rsidP="00CE3C2B">
      <w:pPr>
        <w:spacing w:line="276" w:lineRule="auto"/>
        <w:jc w:val="both"/>
        <w:rPr>
          <w:rFonts w:ascii="Garamond" w:hAnsi="Garamond"/>
          <w:sz w:val="20"/>
          <w:szCs w:val="20"/>
        </w:rPr>
      </w:pPr>
    </w:p>
    <w:p w14:paraId="7E0CE065" w14:textId="1FDAF2F8" w:rsidR="00140A96" w:rsidRPr="00736BFD" w:rsidRDefault="00597765" w:rsidP="00CE3C2B">
      <w:pPr>
        <w:spacing w:line="276" w:lineRule="auto"/>
        <w:jc w:val="both"/>
        <w:rPr>
          <w:rFonts w:ascii="Garamond" w:hAnsi="Garamond"/>
          <w:sz w:val="20"/>
          <w:szCs w:val="20"/>
        </w:rPr>
      </w:pPr>
      <w:r w:rsidRPr="00736BFD">
        <w:rPr>
          <w:rFonts w:ascii="Garamond" w:hAnsi="Garamond"/>
          <w:b/>
          <w:bCs/>
          <w:sz w:val="20"/>
          <w:szCs w:val="20"/>
        </w:rPr>
        <w:t>****</w:t>
      </w:r>
      <w:r w:rsidRPr="00736BFD">
        <w:rPr>
          <w:rFonts w:ascii="Garamond" w:hAnsi="Garamond"/>
          <w:sz w:val="20"/>
          <w:szCs w:val="20"/>
        </w:rPr>
        <w:t xml:space="preserve"> </w:t>
      </w:r>
      <w:r w:rsidR="00C600DE" w:rsidRPr="00736BFD">
        <w:rPr>
          <w:rFonts w:ascii="Garamond" w:hAnsi="Garamond"/>
          <w:sz w:val="20"/>
          <w:szCs w:val="20"/>
        </w:rPr>
        <w:t>In China, tractor categories continue in 3-ton increment</w:t>
      </w:r>
      <w:r w:rsidR="00E4680A" w:rsidRPr="00736BFD">
        <w:rPr>
          <w:rFonts w:ascii="Garamond" w:hAnsi="Garamond"/>
          <w:sz w:val="20"/>
          <w:szCs w:val="20"/>
        </w:rPr>
        <w:t>s up to 49 tons</w:t>
      </w:r>
      <w:r w:rsidR="005B6097" w:rsidRPr="00736BFD">
        <w:rPr>
          <w:rFonts w:ascii="Garamond" w:hAnsi="Garamond"/>
          <w:sz w:val="20"/>
          <w:szCs w:val="20"/>
        </w:rPr>
        <w:t>, with the heaviest category defined as tractors exceeding 49 tons.</w:t>
      </w:r>
    </w:p>
    <w:p w14:paraId="473F7C2F" w14:textId="51C48D5F" w:rsidR="005727DB" w:rsidRDefault="005727DB">
      <w:pPr>
        <w:spacing w:line="276" w:lineRule="auto"/>
      </w:pPr>
    </w:p>
    <w:p w14:paraId="1AE08CF0" w14:textId="77777777" w:rsidR="005727DB" w:rsidRDefault="005727DB">
      <w:pPr>
        <w:spacing w:line="276" w:lineRule="auto"/>
      </w:pPr>
    </w:p>
    <w:p w14:paraId="795B9976" w14:textId="2FDCCDDD" w:rsidR="005727DB" w:rsidRDefault="005727DB">
      <w:pPr>
        <w:spacing w:line="276" w:lineRule="auto"/>
      </w:pPr>
      <w:r>
        <w:br w:type="page"/>
      </w:r>
    </w:p>
    <w:p w14:paraId="0770ACBC" w14:textId="47A93E78" w:rsidR="005449D2" w:rsidRDefault="005065EC" w:rsidP="003D34A6">
      <w:pPr>
        <w:pStyle w:val="Heading1"/>
        <w:keepNext w:val="0"/>
        <w:keepLines w:val="0"/>
        <w:spacing w:after="80"/>
      </w:pPr>
      <w:bookmarkStart w:id="44" w:name="_Toc53065375"/>
      <w:r>
        <w:lastRenderedPageBreak/>
        <w:t>References</w:t>
      </w:r>
      <w:bookmarkEnd w:id="44"/>
    </w:p>
    <w:p w14:paraId="029A7836" w14:textId="00FB15B5" w:rsidR="00EE3988" w:rsidRPr="00EE3988" w:rsidRDefault="00EE3988" w:rsidP="00EE3988">
      <w:pPr>
        <w:ind w:hanging="720"/>
        <w:rPr>
          <w:rFonts w:ascii="Garamond" w:hAnsi="Garamond"/>
        </w:rPr>
      </w:pPr>
      <w:bookmarkStart w:id="45" w:name="_Hlk50711948"/>
      <w:bookmarkStart w:id="46" w:name="_Hlk50711949"/>
      <w:bookmarkStart w:id="47" w:name="_Hlk50711950"/>
      <w:bookmarkStart w:id="48" w:name="_Hlk50711951"/>
      <w:bookmarkStart w:id="49" w:name="_Hlk50711952"/>
      <w:bookmarkStart w:id="50" w:name="_Hlk50711953"/>
      <w:bookmarkStart w:id="51" w:name="_Hlk50711954"/>
      <w:bookmarkStart w:id="52" w:name="_Hlk50711955"/>
      <w:bookmarkStart w:id="53" w:name="_Hlk50711956"/>
      <w:bookmarkStart w:id="54" w:name="_Hlk50711957"/>
      <w:bookmarkStart w:id="55" w:name="_Hlk50737113"/>
      <w:r w:rsidRPr="00EE3988">
        <w:rPr>
          <w:rFonts w:ascii="Garamond" w:hAnsi="Garamond"/>
        </w:rPr>
        <w:t xml:space="preserve">Alternative Fuels Data Center (AFDC, 2020). Average Annual Vehicle Miles Traveled by Major Vehicle Category. Available online at </w:t>
      </w:r>
      <w:hyperlink r:id="rId53" w:history="1">
        <w:r w:rsidRPr="00EE3988">
          <w:rPr>
            <w:rFonts w:ascii="Garamond" w:hAnsi="Garamond"/>
            <w:color w:val="0000FF"/>
            <w:u w:val="single"/>
          </w:rPr>
          <w:t>https://afdc.energy.gov/data/widgets/10309</w:t>
        </w:r>
      </w:hyperlink>
      <w:r w:rsidRPr="00EE3988">
        <w:rPr>
          <w:rFonts w:ascii="Garamond" w:hAnsi="Garamond"/>
          <w:color w:val="0000FF"/>
          <w:u w:val="single"/>
        </w:rPr>
        <w:t xml:space="preserve"> </w:t>
      </w:r>
    </w:p>
    <w:p w14:paraId="7B026D81" w14:textId="77777777" w:rsidR="00EE3988" w:rsidRPr="00EE3988" w:rsidRDefault="00EE3988" w:rsidP="00EE3988">
      <w:pPr>
        <w:ind w:hanging="720"/>
        <w:rPr>
          <w:rFonts w:ascii="Garamond" w:hAnsi="Garamond"/>
        </w:rPr>
      </w:pPr>
      <w:r w:rsidRPr="00EE3988">
        <w:rPr>
          <w:rFonts w:ascii="Garamond" w:hAnsi="Garamond"/>
        </w:rPr>
        <w:t xml:space="preserve">Alternative Fuels Data Center (AFDC, 2020a). Vehicle Weight Class and Categories. Available online at </w:t>
      </w:r>
      <w:hyperlink r:id="rId54" w:history="1">
        <w:r w:rsidRPr="00EE3988">
          <w:rPr>
            <w:rFonts w:ascii="Garamond" w:hAnsi="Garamond"/>
            <w:color w:val="0000FF"/>
            <w:u w:val="single"/>
          </w:rPr>
          <w:t>https://afdc.energy.gov/data/10380</w:t>
        </w:r>
      </w:hyperlink>
    </w:p>
    <w:p w14:paraId="66E0C8DA" w14:textId="5B728F3E" w:rsidR="0022552F" w:rsidRDefault="0022552F" w:rsidP="00EE3988">
      <w:pPr>
        <w:ind w:hanging="720"/>
        <w:rPr>
          <w:rFonts w:ascii="Garamond" w:hAnsi="Garamond"/>
        </w:rPr>
      </w:pPr>
      <w:r>
        <w:rPr>
          <w:rFonts w:ascii="Garamond" w:hAnsi="Garamond"/>
        </w:rPr>
        <w:t>Baidu (Baidu, 2020). Beijing issued a new policy: Strive to reach 90</w:t>
      </w:r>
      <w:r w:rsidR="00D934C2">
        <w:rPr>
          <w:rFonts w:ascii="Garamond" w:hAnsi="Garamond"/>
        </w:rPr>
        <w:t xml:space="preserve"> percent of pure electric 4.5-ton light logistics vehicles by the end of next year. Available online</w:t>
      </w:r>
      <w:r w:rsidR="00117789">
        <w:rPr>
          <w:rFonts w:ascii="Garamond" w:hAnsi="Garamond"/>
        </w:rPr>
        <w:t xml:space="preserve"> (originally in Chinese)</w:t>
      </w:r>
      <w:r w:rsidR="00D934C2">
        <w:rPr>
          <w:rFonts w:ascii="Garamond" w:hAnsi="Garamond"/>
        </w:rPr>
        <w:t xml:space="preserve"> at: </w:t>
      </w:r>
      <w:hyperlink r:id="rId55" w:history="1">
        <w:r w:rsidR="00117789" w:rsidRPr="00857ECB">
          <w:rPr>
            <w:rStyle w:val="Hyperlink"/>
            <w:rFonts w:ascii="Garamond" w:hAnsi="Garamond"/>
          </w:rPr>
          <w:t>https://baijiahao.baidu.com/s?id=1641822892047745193&amp;wfr=spider&amp;for=pc</w:t>
        </w:r>
      </w:hyperlink>
      <w:r w:rsidR="00117789">
        <w:rPr>
          <w:rFonts w:ascii="Garamond" w:hAnsi="Garamond"/>
        </w:rPr>
        <w:t xml:space="preserve"> </w:t>
      </w:r>
    </w:p>
    <w:p w14:paraId="1ED13417" w14:textId="6CBB4206" w:rsidR="00DB5C31" w:rsidRDefault="00DB5C31" w:rsidP="00EE3988">
      <w:pPr>
        <w:ind w:hanging="720"/>
        <w:rPr>
          <w:rFonts w:ascii="Garamond" w:hAnsi="Garamond"/>
        </w:rPr>
      </w:pPr>
      <w:r>
        <w:rPr>
          <w:rFonts w:ascii="Garamond" w:hAnsi="Garamond"/>
        </w:rPr>
        <w:t>Bloomberg (Bloomberg</w:t>
      </w:r>
      <w:r w:rsidR="001513B6">
        <w:rPr>
          <w:rFonts w:ascii="Garamond" w:hAnsi="Garamond"/>
        </w:rPr>
        <w:t xml:space="preserve">, 2018). How China Took Charge of the Electric Bus Revolution. Available online at: </w:t>
      </w:r>
      <w:r w:rsidR="001513B6">
        <w:rPr>
          <w:rFonts w:ascii="Garamond" w:hAnsi="Garamond"/>
        </w:rPr>
        <w:fldChar w:fldCharType="begin"/>
      </w:r>
      <w:r w:rsidR="001513B6">
        <w:rPr>
          <w:rFonts w:ascii="Garamond" w:hAnsi="Garamond"/>
        </w:rPr>
        <w:instrText xml:space="preserve"> HYPERLINK "</w:instrText>
      </w:r>
      <w:r w:rsidR="001513B6" w:rsidRPr="001513B6">
        <w:rPr>
          <w:rFonts w:ascii="Garamond" w:hAnsi="Garamond"/>
        </w:rPr>
        <w:instrText>https://www.bloomberg.com/news/articles/2018-05-08/in-china-shenzhen-electrified-its-entire-bus-fleet</w:instrText>
      </w:r>
      <w:r w:rsidR="001513B6">
        <w:rPr>
          <w:rFonts w:ascii="Garamond" w:hAnsi="Garamond"/>
        </w:rPr>
        <w:instrText xml:space="preserve">" </w:instrText>
      </w:r>
      <w:r w:rsidR="001513B6">
        <w:rPr>
          <w:rFonts w:ascii="Garamond" w:hAnsi="Garamond"/>
        </w:rPr>
        <w:fldChar w:fldCharType="separate"/>
      </w:r>
      <w:r w:rsidR="001513B6" w:rsidRPr="00857ECB">
        <w:rPr>
          <w:rStyle w:val="Hyperlink"/>
          <w:rFonts w:ascii="Garamond" w:hAnsi="Garamond"/>
        </w:rPr>
        <w:t>https://www.bloomberg.com/news/articles/2018-05-08/in-china-shenzhen-electrified-its-entire-bus-fleet</w:t>
      </w:r>
      <w:r w:rsidR="001513B6">
        <w:rPr>
          <w:rFonts w:ascii="Garamond" w:hAnsi="Garamond"/>
        </w:rPr>
        <w:fldChar w:fldCharType="end"/>
      </w:r>
      <w:r w:rsidR="001513B6">
        <w:rPr>
          <w:rFonts w:ascii="Garamond" w:hAnsi="Garamond"/>
        </w:rPr>
        <w:t xml:space="preserve"> </w:t>
      </w:r>
    </w:p>
    <w:p w14:paraId="272FEF6B" w14:textId="5ABCFA0A" w:rsidR="00EE3988" w:rsidRPr="00EE3988" w:rsidRDefault="00EE3988" w:rsidP="00EE3988">
      <w:pPr>
        <w:ind w:hanging="720"/>
        <w:rPr>
          <w:rFonts w:ascii="Garamond" w:hAnsi="Garamond"/>
        </w:rPr>
      </w:pPr>
      <w:r w:rsidRPr="00EE3988">
        <w:rPr>
          <w:rFonts w:ascii="Garamond" w:hAnsi="Garamond"/>
        </w:rPr>
        <w:t>Bloomberg (Bloomberg, 2019). JetBlue Introduces the Largest Electric Ground Service Equipment (</w:t>
      </w:r>
      <w:proofErr w:type="spellStart"/>
      <w:r w:rsidRPr="00EE3988">
        <w:rPr>
          <w:rFonts w:ascii="Garamond" w:hAnsi="Garamond"/>
        </w:rPr>
        <w:t>eGSE</w:t>
      </w:r>
      <w:proofErr w:type="spellEnd"/>
      <w:r w:rsidRPr="00EE3988">
        <w:rPr>
          <w:rFonts w:ascii="Garamond" w:hAnsi="Garamond"/>
        </w:rPr>
        <w:t xml:space="preserve">) Fleet at New York’s JFK International Airport, Cutting. Available online at </w:t>
      </w:r>
      <w:hyperlink r:id="rId56" w:history="1">
        <w:r w:rsidRPr="00EE3988">
          <w:rPr>
            <w:rFonts w:ascii="Garamond" w:hAnsi="Garamond"/>
            <w:color w:val="0000FF"/>
            <w:u w:val="single"/>
          </w:rPr>
          <w:t>https://www.bloomberg.com/press-releases/2019-09-26/jetblue-introduces-the-largest-electric-ground-service-equipment-egse-fleet-at-new-york-s-jfk-international-airport-cutting</w:t>
        </w:r>
      </w:hyperlink>
    </w:p>
    <w:p w14:paraId="7500A885" w14:textId="77777777" w:rsidR="00EE3988" w:rsidRPr="00EE3988" w:rsidRDefault="00EE3988" w:rsidP="00EE3988">
      <w:pPr>
        <w:ind w:hanging="720"/>
        <w:rPr>
          <w:rFonts w:ascii="Garamond" w:hAnsi="Garamond"/>
        </w:rPr>
      </w:pPr>
      <w:r w:rsidRPr="00EE3988">
        <w:rPr>
          <w:rFonts w:ascii="Garamond" w:hAnsi="Garamond"/>
        </w:rPr>
        <w:t xml:space="preserve">Bloomberg (Bloomberg, 2019a). In Beijing, You Have to Win a License Lottery to Buy a New Car. Available online at </w:t>
      </w:r>
      <w:hyperlink r:id="rId57" w:history="1">
        <w:r w:rsidRPr="00EE3988">
          <w:rPr>
            <w:rFonts w:ascii="Garamond" w:hAnsi="Garamond"/>
            <w:color w:val="0000FF"/>
            <w:u w:val="single"/>
          </w:rPr>
          <w:t>https://www.bloomberg.com/news/articles/2019-02-27/in-beijing-you-have-to-win-a-license-lottery-to-buy-a-new-car</w:t>
        </w:r>
      </w:hyperlink>
      <w:r w:rsidRPr="00EE3988">
        <w:rPr>
          <w:rFonts w:ascii="Garamond" w:hAnsi="Garamond"/>
        </w:rPr>
        <w:t xml:space="preserve"> </w:t>
      </w:r>
    </w:p>
    <w:p w14:paraId="354DEF8D" w14:textId="77777777" w:rsidR="00EE3988" w:rsidRPr="00EE3988" w:rsidRDefault="00EE3988" w:rsidP="00EE3988">
      <w:pPr>
        <w:ind w:hanging="720"/>
        <w:rPr>
          <w:rFonts w:ascii="Garamond" w:hAnsi="Garamond"/>
        </w:rPr>
      </w:pPr>
      <w:r w:rsidRPr="00EE3988">
        <w:rPr>
          <w:rFonts w:ascii="Garamond" w:hAnsi="Garamond"/>
        </w:rPr>
        <w:t xml:space="preserve">Build Your Dreams (BYD, 2020). Truck models. Available online at </w:t>
      </w:r>
      <w:hyperlink r:id="rId58" w:history="1">
        <w:r w:rsidRPr="00EE3988">
          <w:rPr>
            <w:rFonts w:ascii="Garamond" w:hAnsi="Garamond"/>
            <w:color w:val="0000FF"/>
            <w:u w:val="single"/>
          </w:rPr>
          <w:t>https://en.byd.com/truck/</w:t>
        </w:r>
      </w:hyperlink>
      <w:r w:rsidRPr="00EE3988">
        <w:rPr>
          <w:rFonts w:ascii="Garamond" w:hAnsi="Garamond"/>
        </w:rPr>
        <w:t xml:space="preserve"> </w:t>
      </w:r>
    </w:p>
    <w:p w14:paraId="09EBCA2B" w14:textId="77777777" w:rsidR="00EE3988" w:rsidRPr="00EE3988" w:rsidRDefault="00EE3988" w:rsidP="00EE3988">
      <w:pPr>
        <w:ind w:hanging="720"/>
        <w:rPr>
          <w:rFonts w:ascii="Garamond" w:hAnsi="Garamond"/>
        </w:rPr>
      </w:pPr>
      <w:r w:rsidRPr="00EE3988">
        <w:rPr>
          <w:rFonts w:ascii="Garamond" w:hAnsi="Garamond"/>
        </w:rPr>
        <w:t xml:space="preserve">Build your Dreams (BYD, 2020a) BYD Electric Vehicles. Available online at </w:t>
      </w:r>
      <w:hyperlink r:id="rId59" w:history="1">
        <w:r w:rsidRPr="00EE3988">
          <w:rPr>
            <w:rFonts w:ascii="Garamond" w:hAnsi="Garamond"/>
            <w:color w:val="0000FF"/>
            <w:u w:val="single"/>
          </w:rPr>
          <w:t>https://theicct.org/sites/default/files/BYD%20EV%20SEDEMA.pdf</w:t>
        </w:r>
      </w:hyperlink>
      <w:r w:rsidRPr="00EE3988">
        <w:rPr>
          <w:rFonts w:ascii="Garamond" w:hAnsi="Garamond"/>
        </w:rPr>
        <w:t xml:space="preserve"> </w:t>
      </w:r>
    </w:p>
    <w:p w14:paraId="35B79436" w14:textId="77777777" w:rsidR="00EE3988" w:rsidRPr="00EE3988" w:rsidRDefault="00EE3988" w:rsidP="00EE3988">
      <w:pPr>
        <w:ind w:hanging="720"/>
        <w:rPr>
          <w:rFonts w:ascii="Garamond" w:hAnsi="Garamond"/>
        </w:rPr>
      </w:pPr>
      <w:r w:rsidRPr="00EE3988">
        <w:rPr>
          <w:rFonts w:ascii="Garamond" w:hAnsi="Garamond"/>
        </w:rPr>
        <w:t xml:space="preserve">C40 (C40, 2020). Green and Healthy streets. Available online at </w:t>
      </w:r>
      <w:hyperlink r:id="rId60" w:history="1">
        <w:r w:rsidRPr="00EE3988">
          <w:rPr>
            <w:rFonts w:ascii="Garamond" w:hAnsi="Garamond"/>
            <w:color w:val="0000FF"/>
            <w:u w:val="single"/>
          </w:rPr>
          <w:t>https://www.c40.org/other/green-and-healthy-streets</w:t>
        </w:r>
      </w:hyperlink>
    </w:p>
    <w:p w14:paraId="51FC0E36" w14:textId="19D34ADD" w:rsidR="004E6F3F" w:rsidRDefault="004E6F3F" w:rsidP="00EE3988">
      <w:pPr>
        <w:ind w:hanging="720"/>
        <w:rPr>
          <w:rFonts w:ascii="Garamond" w:hAnsi="Garamond"/>
        </w:rPr>
      </w:pPr>
      <w:r>
        <w:rPr>
          <w:rFonts w:ascii="Garamond" w:hAnsi="Garamond"/>
        </w:rPr>
        <w:t xml:space="preserve">C40 (C40, 2020a). </w:t>
      </w:r>
      <w:r w:rsidR="00F43AD4">
        <w:rPr>
          <w:rFonts w:ascii="Garamond" w:hAnsi="Garamond"/>
        </w:rPr>
        <w:t xml:space="preserve">Zero Emission Zones for Freight: Lessons from the Netherlands. Available online at: </w:t>
      </w:r>
      <w:r w:rsidR="00F43AD4">
        <w:rPr>
          <w:rFonts w:ascii="Garamond" w:hAnsi="Garamond"/>
        </w:rPr>
        <w:fldChar w:fldCharType="begin"/>
      </w:r>
      <w:r w:rsidR="00F43AD4">
        <w:rPr>
          <w:rFonts w:ascii="Garamond" w:hAnsi="Garamond"/>
        </w:rPr>
        <w:instrText xml:space="preserve"> HYPERLINK "</w:instrText>
      </w:r>
      <w:r w:rsidR="00F43AD4" w:rsidRPr="00F43AD4">
        <w:rPr>
          <w:rFonts w:ascii="Garamond" w:hAnsi="Garamond"/>
        </w:rPr>
        <w:instrText>https://www.c40knowledgehub.org/s/article/Zero-Emission-Zones-for-Freight-Lessons-from-the-Netherlands?language=en_US</w:instrText>
      </w:r>
      <w:r w:rsidR="00F43AD4">
        <w:rPr>
          <w:rFonts w:ascii="Garamond" w:hAnsi="Garamond"/>
        </w:rPr>
        <w:instrText xml:space="preserve">" </w:instrText>
      </w:r>
      <w:r w:rsidR="00F43AD4">
        <w:rPr>
          <w:rFonts w:ascii="Garamond" w:hAnsi="Garamond"/>
        </w:rPr>
        <w:fldChar w:fldCharType="separate"/>
      </w:r>
      <w:r w:rsidR="00F43AD4" w:rsidRPr="00857ECB">
        <w:rPr>
          <w:rStyle w:val="Hyperlink"/>
          <w:rFonts w:ascii="Garamond" w:hAnsi="Garamond"/>
        </w:rPr>
        <w:t>https://www.c40knowledgehub.org/s/article/Zero-Emission-Zones-for-Freight-Lessons-from-the-Netherlands?language=en_US</w:t>
      </w:r>
      <w:r w:rsidR="00F43AD4">
        <w:rPr>
          <w:rFonts w:ascii="Garamond" w:hAnsi="Garamond"/>
        </w:rPr>
        <w:fldChar w:fldCharType="end"/>
      </w:r>
      <w:r w:rsidR="00F43AD4">
        <w:rPr>
          <w:rFonts w:ascii="Garamond" w:hAnsi="Garamond"/>
        </w:rPr>
        <w:t xml:space="preserve"> </w:t>
      </w:r>
    </w:p>
    <w:p w14:paraId="5EBDA51F" w14:textId="4EFAA04D" w:rsidR="00EE3988" w:rsidRPr="00EE3988" w:rsidRDefault="00EE3988" w:rsidP="00EE3988">
      <w:pPr>
        <w:ind w:hanging="720"/>
        <w:rPr>
          <w:rFonts w:ascii="Garamond" w:hAnsi="Garamond"/>
        </w:rPr>
      </w:pPr>
      <w:r w:rsidRPr="00EE3988">
        <w:rPr>
          <w:rFonts w:ascii="Garamond" w:hAnsi="Garamond"/>
        </w:rPr>
        <w:t>California Air Resource</w:t>
      </w:r>
      <w:r w:rsidR="00F74809">
        <w:rPr>
          <w:rFonts w:ascii="Garamond" w:hAnsi="Garamond"/>
        </w:rPr>
        <w:t>s</w:t>
      </w:r>
      <w:r w:rsidRPr="00EE3988">
        <w:rPr>
          <w:rFonts w:ascii="Garamond" w:hAnsi="Garamond"/>
        </w:rPr>
        <w:t xml:space="preserve"> Board (CARB, 2018). Fleet Rule for Innovative Transit - Final Regulation Order. Available online at </w:t>
      </w:r>
      <w:hyperlink r:id="rId61" w:history="1">
        <w:r w:rsidRPr="00EE3988">
          <w:rPr>
            <w:rFonts w:ascii="Garamond" w:hAnsi="Garamond"/>
            <w:color w:val="0000FF"/>
            <w:u w:val="single"/>
          </w:rPr>
          <w:t>https://ww3.arb.ca.gov/regact/2018/ict2018/ictfro.pdf</w:t>
        </w:r>
      </w:hyperlink>
    </w:p>
    <w:p w14:paraId="5ECE406F" w14:textId="1A24E4A1" w:rsidR="004413FF" w:rsidRDefault="004413FF" w:rsidP="00EE3988">
      <w:pPr>
        <w:ind w:hanging="720"/>
        <w:rPr>
          <w:rFonts w:ascii="Garamond" w:hAnsi="Garamond"/>
        </w:rPr>
      </w:pPr>
      <w:r>
        <w:rPr>
          <w:rFonts w:ascii="Garamond" w:hAnsi="Garamond"/>
        </w:rPr>
        <w:t>California Air Resources Board (CARB, 20</w:t>
      </w:r>
      <w:r w:rsidR="00F74809">
        <w:rPr>
          <w:rFonts w:ascii="Garamond" w:hAnsi="Garamond"/>
        </w:rPr>
        <w:t xml:space="preserve">19). Public hearing to consider electric vehicle supply equipment standards. Staff report: Initial statement of reasons. </w:t>
      </w:r>
      <w:r w:rsidR="006F1348">
        <w:rPr>
          <w:rFonts w:ascii="Garamond" w:hAnsi="Garamond"/>
        </w:rPr>
        <w:t xml:space="preserve">Available online at: </w:t>
      </w:r>
      <w:r w:rsidR="006F1348">
        <w:rPr>
          <w:rFonts w:ascii="Garamond" w:hAnsi="Garamond"/>
        </w:rPr>
        <w:fldChar w:fldCharType="begin"/>
      </w:r>
      <w:r w:rsidR="006F1348">
        <w:rPr>
          <w:rFonts w:ascii="Garamond" w:hAnsi="Garamond"/>
        </w:rPr>
        <w:instrText xml:space="preserve"> HYPERLINK "</w:instrText>
      </w:r>
      <w:r w:rsidR="006F1348" w:rsidRPr="006F1348">
        <w:rPr>
          <w:rFonts w:ascii="Garamond" w:hAnsi="Garamond"/>
        </w:rPr>
        <w:instrText>https://ww3.arb.ca.gov/regact/2019/evse2019/isor.pdf</w:instrText>
      </w:r>
      <w:r w:rsidR="006F1348">
        <w:rPr>
          <w:rFonts w:ascii="Garamond" w:hAnsi="Garamond"/>
        </w:rPr>
        <w:instrText xml:space="preserve">" </w:instrText>
      </w:r>
      <w:r w:rsidR="006F1348">
        <w:rPr>
          <w:rFonts w:ascii="Garamond" w:hAnsi="Garamond"/>
        </w:rPr>
        <w:fldChar w:fldCharType="separate"/>
      </w:r>
      <w:r w:rsidR="006F1348" w:rsidRPr="00857ECB">
        <w:rPr>
          <w:rStyle w:val="Hyperlink"/>
          <w:rFonts w:ascii="Garamond" w:hAnsi="Garamond"/>
        </w:rPr>
        <w:t>https://ww3.arb.ca.gov/regact/2019/evse2019/isor.pdf</w:t>
      </w:r>
      <w:r w:rsidR="006F1348">
        <w:rPr>
          <w:rFonts w:ascii="Garamond" w:hAnsi="Garamond"/>
        </w:rPr>
        <w:fldChar w:fldCharType="end"/>
      </w:r>
      <w:r w:rsidR="006F1348">
        <w:rPr>
          <w:rFonts w:ascii="Garamond" w:hAnsi="Garamond"/>
        </w:rPr>
        <w:t xml:space="preserve"> </w:t>
      </w:r>
    </w:p>
    <w:p w14:paraId="2C74775F" w14:textId="7FE4932B" w:rsidR="00EE3988" w:rsidRPr="00EE3988" w:rsidRDefault="00EE3988" w:rsidP="00EE3988">
      <w:pPr>
        <w:ind w:hanging="720"/>
        <w:rPr>
          <w:rFonts w:ascii="Garamond" w:hAnsi="Garamond"/>
        </w:rPr>
      </w:pPr>
      <w:r w:rsidRPr="00EE3988">
        <w:rPr>
          <w:rFonts w:ascii="Garamond" w:hAnsi="Garamond"/>
        </w:rPr>
        <w:t>California Air Resource</w:t>
      </w:r>
      <w:r w:rsidR="00F74809">
        <w:rPr>
          <w:rFonts w:ascii="Garamond" w:hAnsi="Garamond"/>
        </w:rPr>
        <w:t>s</w:t>
      </w:r>
      <w:r w:rsidRPr="00EE3988">
        <w:rPr>
          <w:rFonts w:ascii="Garamond" w:hAnsi="Garamond"/>
        </w:rPr>
        <w:t xml:space="preserve"> Board (CARB, 2020). Fiscal Year 2019-20 Funding Plan on Clean Transportation Investments: Appendix D. Available online at </w:t>
      </w:r>
      <w:hyperlink r:id="rId62" w:history="1">
        <w:r w:rsidRPr="00EE3988">
          <w:rPr>
            <w:rFonts w:ascii="Garamond" w:hAnsi="Garamond"/>
            <w:color w:val="0000FF"/>
            <w:u w:val="single"/>
          </w:rPr>
          <w:t>https://ww2.arb.ca.gov/sites/default/files/2019-09/fy1920fundingplan-appd.pdf</w:t>
        </w:r>
      </w:hyperlink>
    </w:p>
    <w:p w14:paraId="0B143A93" w14:textId="7EEED9B8" w:rsidR="00EE3988" w:rsidRPr="00EE3988" w:rsidRDefault="00EE3988" w:rsidP="00EE3988">
      <w:pPr>
        <w:ind w:hanging="720"/>
        <w:rPr>
          <w:rFonts w:ascii="Garamond" w:hAnsi="Garamond"/>
        </w:rPr>
      </w:pPr>
      <w:r w:rsidRPr="00EE3988">
        <w:rPr>
          <w:rFonts w:ascii="Garamond" w:hAnsi="Garamond"/>
        </w:rPr>
        <w:t>California Air Resource</w:t>
      </w:r>
      <w:r w:rsidR="00F74809">
        <w:rPr>
          <w:rFonts w:ascii="Garamond" w:hAnsi="Garamond"/>
        </w:rPr>
        <w:t>s</w:t>
      </w:r>
      <w:r w:rsidRPr="00EE3988">
        <w:rPr>
          <w:rFonts w:ascii="Garamond" w:hAnsi="Garamond"/>
        </w:rPr>
        <w:t xml:space="preserve"> Board (CARB, 2020a). Commercial Harbor Craft. Available online at </w:t>
      </w:r>
      <w:hyperlink r:id="rId63" w:history="1">
        <w:r w:rsidRPr="00EE3988">
          <w:rPr>
            <w:rFonts w:ascii="Garamond" w:hAnsi="Garamond"/>
            <w:color w:val="0000FF"/>
            <w:u w:val="single"/>
          </w:rPr>
          <w:t>https://ww2.arb.ca.gov/our-work/programs/commercial-harbor-craft</w:t>
        </w:r>
      </w:hyperlink>
      <w:r w:rsidRPr="00EE3988">
        <w:rPr>
          <w:rFonts w:ascii="Garamond" w:hAnsi="Garamond"/>
        </w:rPr>
        <w:t xml:space="preserve"> </w:t>
      </w:r>
    </w:p>
    <w:p w14:paraId="2217E2AF" w14:textId="2C2366D9" w:rsidR="00EE3988" w:rsidRPr="00EE3988" w:rsidRDefault="00EE3988" w:rsidP="00EE3988">
      <w:pPr>
        <w:ind w:hanging="720"/>
        <w:rPr>
          <w:rFonts w:ascii="Garamond" w:hAnsi="Garamond"/>
        </w:rPr>
      </w:pPr>
      <w:r w:rsidRPr="00EE3988">
        <w:rPr>
          <w:rFonts w:ascii="Garamond" w:hAnsi="Garamond"/>
        </w:rPr>
        <w:t>California Air Resource</w:t>
      </w:r>
      <w:r w:rsidR="00F74809">
        <w:rPr>
          <w:rFonts w:ascii="Garamond" w:hAnsi="Garamond"/>
        </w:rPr>
        <w:t>s</w:t>
      </w:r>
      <w:r w:rsidRPr="00EE3988">
        <w:rPr>
          <w:rFonts w:ascii="Garamond" w:hAnsi="Garamond"/>
        </w:rPr>
        <w:t xml:space="preserve"> Board (CARB, 2020b). HVIP Eligible Vehicle Catalog. Available online at </w:t>
      </w:r>
      <w:hyperlink r:id="rId64" w:anchor="Eligible-Vehicle-Catalog" w:history="1">
        <w:r w:rsidRPr="00EE3988">
          <w:rPr>
            <w:rFonts w:ascii="Garamond" w:hAnsi="Garamond"/>
            <w:color w:val="0000FF"/>
            <w:u w:val="single"/>
          </w:rPr>
          <w:t>https://www.californiahvip.org/how-to-participate/#Eligible-Vehicle-Catalog</w:t>
        </w:r>
      </w:hyperlink>
    </w:p>
    <w:p w14:paraId="09601FC8" w14:textId="652D682C" w:rsidR="00EE3988" w:rsidRPr="00EE3988" w:rsidRDefault="00EE3988" w:rsidP="00EE3988">
      <w:pPr>
        <w:ind w:hanging="720"/>
        <w:rPr>
          <w:rFonts w:ascii="Garamond" w:hAnsi="Garamond"/>
        </w:rPr>
      </w:pPr>
      <w:r w:rsidRPr="00EE3988">
        <w:rPr>
          <w:rFonts w:ascii="Garamond" w:hAnsi="Garamond"/>
        </w:rPr>
        <w:t>California Air Resource</w:t>
      </w:r>
      <w:r w:rsidR="00F74809">
        <w:rPr>
          <w:rFonts w:ascii="Garamond" w:hAnsi="Garamond"/>
        </w:rPr>
        <w:t>s</w:t>
      </w:r>
      <w:r w:rsidRPr="00EE3988">
        <w:rPr>
          <w:rFonts w:ascii="Garamond" w:hAnsi="Garamond"/>
        </w:rPr>
        <w:t xml:space="preserve"> Board (CARB, 2020c). HVIP. Available online at </w:t>
      </w:r>
      <w:hyperlink r:id="rId65" w:history="1">
        <w:r w:rsidRPr="00EE3988">
          <w:rPr>
            <w:rFonts w:ascii="Garamond" w:hAnsi="Garamond"/>
            <w:color w:val="0000FF"/>
            <w:u w:val="single"/>
          </w:rPr>
          <w:t>https://www.californiahvip.org/</w:t>
        </w:r>
      </w:hyperlink>
    </w:p>
    <w:p w14:paraId="47AFE4B8" w14:textId="1A025BEB" w:rsidR="00EE3988" w:rsidRPr="00EE3988" w:rsidRDefault="00EE3988" w:rsidP="00EE3988">
      <w:pPr>
        <w:ind w:hanging="720"/>
        <w:rPr>
          <w:rFonts w:ascii="Garamond" w:hAnsi="Garamond"/>
        </w:rPr>
      </w:pPr>
      <w:r w:rsidRPr="00EE3988">
        <w:rPr>
          <w:rFonts w:ascii="Garamond" w:hAnsi="Garamond"/>
        </w:rPr>
        <w:t>California Air Resource</w:t>
      </w:r>
      <w:r w:rsidR="00F74809">
        <w:rPr>
          <w:rFonts w:ascii="Garamond" w:hAnsi="Garamond"/>
        </w:rPr>
        <w:t>s</w:t>
      </w:r>
      <w:r w:rsidRPr="00EE3988">
        <w:rPr>
          <w:rFonts w:ascii="Garamond" w:hAnsi="Garamond"/>
        </w:rPr>
        <w:t xml:space="preserve"> Board (CARB, 2020d). Innovative Clean Transit. Available online at </w:t>
      </w:r>
      <w:hyperlink r:id="rId66" w:history="1">
        <w:r w:rsidRPr="00EE3988">
          <w:rPr>
            <w:rFonts w:ascii="Garamond" w:hAnsi="Garamond"/>
            <w:color w:val="0000FF"/>
            <w:u w:val="single"/>
          </w:rPr>
          <w:t>https://ww2.arb.ca.gov/our-work/programs/innovative-clean-transit</w:t>
        </w:r>
      </w:hyperlink>
    </w:p>
    <w:p w14:paraId="41E62F00" w14:textId="678D0A7B" w:rsidR="00EE3988" w:rsidRPr="00EE3988" w:rsidRDefault="00EE3988" w:rsidP="00EE3988">
      <w:pPr>
        <w:ind w:hanging="720"/>
        <w:rPr>
          <w:rFonts w:ascii="Garamond" w:hAnsi="Garamond"/>
        </w:rPr>
      </w:pPr>
      <w:r w:rsidRPr="00EE3988">
        <w:rPr>
          <w:rFonts w:ascii="Garamond" w:hAnsi="Garamond"/>
        </w:rPr>
        <w:t>California Air Resource</w:t>
      </w:r>
      <w:r w:rsidR="00F74809">
        <w:rPr>
          <w:rFonts w:ascii="Garamond" w:hAnsi="Garamond"/>
        </w:rPr>
        <w:t>s</w:t>
      </w:r>
      <w:r w:rsidRPr="00EE3988">
        <w:rPr>
          <w:rFonts w:ascii="Garamond" w:hAnsi="Garamond"/>
        </w:rPr>
        <w:t xml:space="preserve"> Board (CARB, 2020e). Advanced Clean Trucks. Available online at </w:t>
      </w:r>
      <w:hyperlink r:id="rId67" w:history="1">
        <w:r w:rsidRPr="00EE3988">
          <w:rPr>
            <w:rFonts w:ascii="Garamond" w:hAnsi="Garamond"/>
            <w:color w:val="0000FF"/>
            <w:u w:val="single"/>
          </w:rPr>
          <w:t>https://ww2.arb.ca.gov/our-work/programs/advanced-clean-trucks</w:t>
        </w:r>
      </w:hyperlink>
    </w:p>
    <w:p w14:paraId="36A5E9C5" w14:textId="28D7EECC" w:rsidR="00EE3988" w:rsidRPr="00EE3988" w:rsidRDefault="00EE3988" w:rsidP="00EE3988">
      <w:pPr>
        <w:ind w:hanging="720"/>
        <w:rPr>
          <w:rFonts w:ascii="Garamond" w:hAnsi="Garamond"/>
        </w:rPr>
      </w:pPr>
      <w:r w:rsidRPr="00EE3988">
        <w:rPr>
          <w:rFonts w:ascii="Garamond" w:hAnsi="Garamond"/>
        </w:rPr>
        <w:t>California Air Resource</w:t>
      </w:r>
      <w:r w:rsidR="00F74809">
        <w:rPr>
          <w:rFonts w:ascii="Garamond" w:hAnsi="Garamond"/>
        </w:rPr>
        <w:t>s</w:t>
      </w:r>
      <w:r w:rsidRPr="00EE3988">
        <w:rPr>
          <w:rFonts w:ascii="Garamond" w:hAnsi="Garamond"/>
        </w:rPr>
        <w:t xml:space="preserve"> Board (CARB, 2020f). Zero-Emission Vehicle Program. Available online at </w:t>
      </w:r>
      <w:hyperlink r:id="rId68" w:history="1">
        <w:r w:rsidRPr="00EE3988">
          <w:rPr>
            <w:rFonts w:ascii="Garamond" w:hAnsi="Garamond"/>
            <w:color w:val="0000FF"/>
            <w:u w:val="single"/>
          </w:rPr>
          <w:t>https://ww2.arb.ca.gov/our-work/programs/zero-emission-vehicle-program</w:t>
        </w:r>
      </w:hyperlink>
    </w:p>
    <w:p w14:paraId="4F3F25B7" w14:textId="2818DEEB" w:rsidR="00351A5D" w:rsidRDefault="00351A5D" w:rsidP="00EE3988">
      <w:pPr>
        <w:ind w:hanging="720"/>
        <w:rPr>
          <w:rFonts w:ascii="Garamond" w:hAnsi="Garamond"/>
        </w:rPr>
      </w:pPr>
      <w:r w:rsidRPr="00EE3988">
        <w:rPr>
          <w:rFonts w:ascii="Garamond" w:hAnsi="Garamond"/>
        </w:rPr>
        <w:t>California Air Resource</w:t>
      </w:r>
      <w:r>
        <w:rPr>
          <w:rFonts w:ascii="Garamond" w:hAnsi="Garamond"/>
        </w:rPr>
        <w:t>s</w:t>
      </w:r>
      <w:r w:rsidRPr="00EE3988">
        <w:rPr>
          <w:rFonts w:ascii="Garamond" w:hAnsi="Garamond"/>
        </w:rPr>
        <w:t xml:space="preserve"> Board (CARB, 2020</w:t>
      </w:r>
      <w:r>
        <w:rPr>
          <w:rFonts w:ascii="Garamond" w:hAnsi="Garamond"/>
        </w:rPr>
        <w:t>g</w:t>
      </w:r>
      <w:r w:rsidRPr="00EE3988">
        <w:rPr>
          <w:rFonts w:ascii="Garamond" w:hAnsi="Garamond"/>
        </w:rPr>
        <w:t>).</w:t>
      </w:r>
      <w:r>
        <w:rPr>
          <w:rFonts w:ascii="Garamond" w:hAnsi="Garamond"/>
        </w:rPr>
        <w:t xml:space="preserve"> Hydrogen Fueling Infrastructure. Available online at: </w:t>
      </w:r>
      <w:hyperlink r:id="rId69" w:history="1">
        <w:r w:rsidR="001E0F9A" w:rsidRPr="00857ECB">
          <w:rPr>
            <w:rStyle w:val="Hyperlink"/>
            <w:rFonts w:ascii="Garamond" w:hAnsi="Garamond"/>
          </w:rPr>
          <w:t>https://ww2.arb.ca.gov/our-work/programs/hydrogen-fueling-infrastructure/about</w:t>
        </w:r>
      </w:hyperlink>
      <w:r w:rsidR="001E0F9A">
        <w:rPr>
          <w:rFonts w:ascii="Garamond" w:hAnsi="Garamond"/>
        </w:rPr>
        <w:t xml:space="preserve"> </w:t>
      </w:r>
    </w:p>
    <w:p w14:paraId="1605EB15" w14:textId="595C914D" w:rsidR="00EE3988" w:rsidRPr="00EE3988" w:rsidRDefault="00EE3988" w:rsidP="00EE3988">
      <w:pPr>
        <w:ind w:hanging="720"/>
        <w:rPr>
          <w:rFonts w:ascii="Garamond" w:hAnsi="Garamond"/>
        </w:rPr>
      </w:pPr>
      <w:r w:rsidRPr="00EE3988">
        <w:rPr>
          <w:rFonts w:ascii="Garamond" w:hAnsi="Garamond"/>
        </w:rPr>
        <w:lastRenderedPageBreak/>
        <w:t xml:space="preserve">California Department of Transportation (CA DOT, 2019). Near-Zero-Emission and Zero-Emission Vehicles. Available online at </w:t>
      </w:r>
      <w:hyperlink r:id="rId70" w:history="1">
        <w:r w:rsidRPr="00EE3988">
          <w:rPr>
            <w:rFonts w:ascii="Garamond" w:hAnsi="Garamond"/>
            <w:color w:val="0000FF"/>
            <w:u w:val="single"/>
          </w:rPr>
          <w:t>https://dot.ca.gov/programs/traffic-operations/legal-truck-access/ex-zero-emission-vehicle</w:t>
        </w:r>
      </w:hyperlink>
    </w:p>
    <w:p w14:paraId="7C184729" w14:textId="02B19E62" w:rsidR="00EE3988" w:rsidRPr="00EE3988" w:rsidRDefault="00EE3988" w:rsidP="00EE3988">
      <w:pPr>
        <w:ind w:hanging="720"/>
        <w:rPr>
          <w:rFonts w:ascii="Garamond" w:hAnsi="Garamond"/>
        </w:rPr>
      </w:pPr>
      <w:r w:rsidRPr="00EE3988">
        <w:rPr>
          <w:rFonts w:ascii="Garamond" w:hAnsi="Garamond"/>
        </w:rPr>
        <w:t>California Energy Commission (C</w:t>
      </w:r>
      <w:r w:rsidR="0086686D">
        <w:rPr>
          <w:rFonts w:ascii="Garamond" w:hAnsi="Garamond"/>
        </w:rPr>
        <w:t>EC</w:t>
      </w:r>
      <w:r w:rsidRPr="00EE3988">
        <w:rPr>
          <w:rFonts w:ascii="Garamond" w:hAnsi="Garamond"/>
        </w:rPr>
        <w:t xml:space="preserve">, 2020). Clean Energy and Pollution Reduction Act - SB 350. Available online at </w:t>
      </w:r>
      <w:hyperlink r:id="rId71" w:history="1">
        <w:r w:rsidRPr="00EE3988">
          <w:rPr>
            <w:rFonts w:ascii="Garamond" w:hAnsi="Garamond"/>
            <w:color w:val="0000FF"/>
            <w:u w:val="single"/>
          </w:rPr>
          <w:t>https://www.energy.ca.gov/rules-and-regulations/energy-suppliers-reporting/clean-energy-and-pollution-reduction-act-sb-350</w:t>
        </w:r>
      </w:hyperlink>
    </w:p>
    <w:p w14:paraId="4A6EFB7C" w14:textId="77777777" w:rsidR="00EE3988" w:rsidRPr="00EE3988" w:rsidRDefault="00EE3988" w:rsidP="00EE3988">
      <w:pPr>
        <w:ind w:hanging="720"/>
        <w:rPr>
          <w:rFonts w:ascii="Garamond" w:hAnsi="Garamond"/>
        </w:rPr>
      </w:pPr>
      <w:r w:rsidRPr="00EE3988">
        <w:rPr>
          <w:rFonts w:ascii="Garamond" w:hAnsi="Garamond"/>
        </w:rPr>
        <w:t xml:space="preserve">California Public Utilities Commission (CPUC, 2018). Transportation Electrification Activities Pursuant to Senate Bill 350. Available online at  </w:t>
      </w:r>
      <w:hyperlink r:id="rId72" w:history="1">
        <w:r w:rsidRPr="00EE3988">
          <w:rPr>
            <w:rFonts w:ascii="Garamond" w:hAnsi="Garamond"/>
            <w:color w:val="0000FF"/>
            <w:u w:val="single"/>
          </w:rPr>
          <w:t>https://www.cpuc.ca.gov/sb350te/</w:t>
        </w:r>
      </w:hyperlink>
    </w:p>
    <w:p w14:paraId="1EB2AD2C" w14:textId="77777777" w:rsidR="00EE3988" w:rsidRPr="00EE3988" w:rsidRDefault="00EE3988" w:rsidP="00EE3988">
      <w:pPr>
        <w:ind w:hanging="720"/>
        <w:rPr>
          <w:rFonts w:ascii="Garamond" w:hAnsi="Garamond"/>
        </w:rPr>
      </w:pPr>
      <w:r w:rsidRPr="00EE3988">
        <w:rPr>
          <w:rFonts w:ascii="Garamond" w:hAnsi="Garamond"/>
        </w:rPr>
        <w:t xml:space="preserve">California Public Utilities Commission (CPUC, 2018a). Summary of Decision on Transportation Electrification Program Proposals from the Investor-Owned Utilities. Available online at </w:t>
      </w:r>
      <w:hyperlink r:id="rId73" w:history="1">
        <w:r w:rsidRPr="00EE3988">
          <w:rPr>
            <w:rFonts w:ascii="Garamond" w:hAnsi="Garamond"/>
            <w:color w:val="0000FF"/>
            <w:u w:val="single"/>
          </w:rPr>
          <w:t>https://www.cpuc.ca.gov/WorkArea/DownloadAsset.aspx?id=6442457607</w:t>
        </w:r>
      </w:hyperlink>
      <w:r w:rsidRPr="00EE3988">
        <w:rPr>
          <w:rFonts w:ascii="Garamond" w:hAnsi="Garamond"/>
        </w:rPr>
        <w:t xml:space="preserve"> </w:t>
      </w:r>
    </w:p>
    <w:p w14:paraId="47AA44C1" w14:textId="77777777" w:rsidR="00EE3988" w:rsidRPr="00EE3988" w:rsidRDefault="00EE3988" w:rsidP="00EE3988">
      <w:pPr>
        <w:ind w:hanging="720"/>
        <w:rPr>
          <w:rFonts w:ascii="Garamond" w:hAnsi="Garamond"/>
        </w:rPr>
      </w:pPr>
      <w:r w:rsidRPr="00EE3988">
        <w:rPr>
          <w:rFonts w:ascii="Garamond" w:hAnsi="Garamond"/>
        </w:rPr>
        <w:t xml:space="preserve">CALSTART (CALSTART, 2012). Technologies, Challenges and Opportunities: I-710 Zero-Emissions Corridor Vehicle Systems. Available online at </w:t>
      </w:r>
      <w:hyperlink r:id="rId74" w:history="1">
        <w:r w:rsidRPr="00EE3988">
          <w:rPr>
            <w:rFonts w:ascii="Garamond" w:hAnsi="Garamond"/>
            <w:color w:val="0000FF"/>
            <w:u w:val="single"/>
          </w:rPr>
          <w:t>https://calstart.org/libraries-publications-i-710_tech_challenges_opps_report-sflb-ashx/</w:t>
        </w:r>
      </w:hyperlink>
    </w:p>
    <w:p w14:paraId="70D4C8F8" w14:textId="2BF22B01" w:rsidR="00F469FF" w:rsidRDefault="000908C2" w:rsidP="00EE3988">
      <w:pPr>
        <w:ind w:hanging="720"/>
        <w:rPr>
          <w:rFonts w:ascii="Garamond" w:hAnsi="Garamond"/>
        </w:rPr>
      </w:pPr>
      <w:r>
        <w:rPr>
          <w:rFonts w:ascii="Garamond" w:hAnsi="Garamond"/>
        </w:rPr>
        <w:t>CALSTART (CALSTART, 2015). Electric Truck &amp; Bus Grid Integration</w:t>
      </w:r>
      <w:r w:rsidR="00F108F8">
        <w:rPr>
          <w:rFonts w:ascii="Garamond" w:hAnsi="Garamond"/>
        </w:rPr>
        <w:t xml:space="preserve">. Available online at: </w:t>
      </w:r>
      <w:hyperlink r:id="rId75" w:history="1">
        <w:r w:rsidR="00F108F8" w:rsidRPr="00857ECB">
          <w:rPr>
            <w:rStyle w:val="Hyperlink"/>
            <w:rFonts w:ascii="Garamond" w:hAnsi="Garamond"/>
          </w:rPr>
          <w:t>https://calstart.org/wp-content/uploads/2018/10/Electric-Truck-and-Bus-Grid-Integration_-Opportunities-Challenges-and-Recommendations.pdf</w:t>
        </w:r>
      </w:hyperlink>
      <w:r w:rsidR="00F108F8">
        <w:rPr>
          <w:rFonts w:ascii="Garamond" w:hAnsi="Garamond"/>
        </w:rPr>
        <w:t xml:space="preserve"> </w:t>
      </w:r>
    </w:p>
    <w:p w14:paraId="6A1C7CCC" w14:textId="178F55A1" w:rsidR="00EE3988" w:rsidRPr="00EE3988" w:rsidRDefault="00EE3988" w:rsidP="00EE3988">
      <w:pPr>
        <w:ind w:hanging="720"/>
        <w:rPr>
          <w:rFonts w:ascii="Garamond" w:hAnsi="Garamond"/>
        </w:rPr>
      </w:pPr>
      <w:r w:rsidRPr="00EE3988">
        <w:rPr>
          <w:rFonts w:ascii="Garamond" w:hAnsi="Garamond"/>
        </w:rPr>
        <w:t xml:space="preserve">CALSTART (CALSTART, 2019). CARB celebrates 10 years of innovative incentive program that puts ultra-clean trucks and buses onto California’s streets and highways. Available online at </w:t>
      </w:r>
      <w:hyperlink r:id="rId76" w:history="1">
        <w:r w:rsidRPr="00EE3988">
          <w:rPr>
            <w:rFonts w:ascii="Garamond" w:hAnsi="Garamond"/>
            <w:color w:val="0000FF"/>
            <w:u w:val="single"/>
          </w:rPr>
          <w:t>https://calstart.org/sunline-hvip-10years/</w:t>
        </w:r>
      </w:hyperlink>
    </w:p>
    <w:p w14:paraId="4D944357" w14:textId="43DD25BB" w:rsidR="00F108F8" w:rsidRDefault="00F108F8" w:rsidP="00EE3988">
      <w:pPr>
        <w:ind w:hanging="720"/>
        <w:rPr>
          <w:rFonts w:ascii="Garamond" w:hAnsi="Garamond"/>
        </w:rPr>
      </w:pPr>
      <w:r>
        <w:rPr>
          <w:rFonts w:ascii="Garamond" w:hAnsi="Garamond"/>
        </w:rPr>
        <w:t xml:space="preserve">CALSTART (CALSTART, 2019a). Voucher Incentive Programs: A Tool for Clean Commercial Vehicle Deployment. Available online at: </w:t>
      </w:r>
      <w:hyperlink r:id="rId77" w:history="1">
        <w:r w:rsidR="00423833" w:rsidRPr="00857ECB">
          <w:rPr>
            <w:rStyle w:val="Hyperlink"/>
            <w:rFonts w:ascii="Garamond" w:hAnsi="Garamond"/>
          </w:rPr>
          <w:t>https://calstart.org/wp-content/uploads/2020/09/CALSTART_VIP_White_Paper.pdf</w:t>
        </w:r>
      </w:hyperlink>
      <w:r w:rsidR="00423833">
        <w:rPr>
          <w:rFonts w:ascii="Garamond" w:hAnsi="Garamond"/>
        </w:rPr>
        <w:t xml:space="preserve"> </w:t>
      </w:r>
    </w:p>
    <w:p w14:paraId="28E9E523" w14:textId="3BCD49C8" w:rsidR="002A12BA" w:rsidRDefault="002A12BA" w:rsidP="00EE3988">
      <w:pPr>
        <w:ind w:hanging="720"/>
        <w:rPr>
          <w:rFonts w:ascii="Garamond" w:hAnsi="Garamond"/>
        </w:rPr>
      </w:pPr>
      <w:r>
        <w:rPr>
          <w:rFonts w:ascii="Garamond" w:hAnsi="Garamond"/>
        </w:rPr>
        <w:t>Canada Infrastructure Bank (Canada</w:t>
      </w:r>
      <w:r w:rsidR="00A96E56">
        <w:rPr>
          <w:rFonts w:ascii="Garamond" w:hAnsi="Garamond"/>
        </w:rPr>
        <w:t xml:space="preserve"> Infrastructure Bank, 2020). $10B Growth Plan: Investing in New Infrastructure. Available online at: </w:t>
      </w:r>
      <w:hyperlink r:id="rId78" w:history="1">
        <w:r w:rsidR="00942FB6" w:rsidRPr="00857ECB">
          <w:rPr>
            <w:rStyle w:val="Hyperlink"/>
            <w:rFonts w:ascii="Garamond" w:hAnsi="Garamond"/>
          </w:rPr>
          <w:t>https://cib-bic.ca/wp-content/uploads/2020/10/Summary-of-the-CIB-Growth-Plan.pdf</w:t>
        </w:r>
      </w:hyperlink>
      <w:r w:rsidR="00942FB6">
        <w:rPr>
          <w:rFonts w:ascii="Garamond" w:hAnsi="Garamond"/>
        </w:rPr>
        <w:t xml:space="preserve"> </w:t>
      </w:r>
    </w:p>
    <w:p w14:paraId="61EC9265" w14:textId="113B3EEE" w:rsidR="00EE3988" w:rsidRPr="00EE3988" w:rsidRDefault="00EE3988" w:rsidP="00EE3988">
      <w:pPr>
        <w:ind w:hanging="720"/>
        <w:rPr>
          <w:rFonts w:ascii="Garamond" w:hAnsi="Garamond"/>
        </w:rPr>
      </w:pPr>
      <w:r w:rsidRPr="00EE3988">
        <w:rPr>
          <w:rFonts w:ascii="Garamond" w:hAnsi="Garamond"/>
        </w:rPr>
        <w:t xml:space="preserve">CBC News (CBC, 2019). B.C. introduces law to require cars, trucks sold by 2040 be zero emission. Available online at </w:t>
      </w:r>
      <w:hyperlink r:id="rId79" w:history="1">
        <w:r w:rsidRPr="00EE3988">
          <w:rPr>
            <w:rFonts w:ascii="Garamond" w:hAnsi="Garamond"/>
            <w:color w:val="0000FF"/>
            <w:u w:val="single"/>
          </w:rPr>
          <w:t>https://www.cbc.ca/news/canada/british-columbia/b-c-introduces-law-to-require-cars-trucks-sold-by-2040-be-zero-emission-1.5093110</w:t>
        </w:r>
      </w:hyperlink>
    </w:p>
    <w:p w14:paraId="4BB9294C" w14:textId="77777777" w:rsidR="00EE3988" w:rsidRPr="00EE3988" w:rsidRDefault="00EE3988" w:rsidP="00EE3988">
      <w:pPr>
        <w:ind w:hanging="720"/>
        <w:rPr>
          <w:rFonts w:ascii="Garamond" w:hAnsi="Garamond"/>
        </w:rPr>
      </w:pPr>
      <w:r w:rsidRPr="00EE3988">
        <w:rPr>
          <w:rFonts w:ascii="Garamond" w:hAnsi="Garamond"/>
        </w:rPr>
        <w:t xml:space="preserve">Ceres (Ceres, 2020). Corporate Electric Vehicle Alliance. Available online at </w:t>
      </w:r>
      <w:hyperlink r:id="rId80" w:history="1">
        <w:r w:rsidRPr="00EE3988">
          <w:rPr>
            <w:rFonts w:ascii="Garamond" w:hAnsi="Garamond"/>
            <w:color w:val="0000FF"/>
            <w:u w:val="single"/>
          </w:rPr>
          <w:t>https://www.ceres.org/corporate-electric-vehicle-alliance</w:t>
        </w:r>
      </w:hyperlink>
    </w:p>
    <w:p w14:paraId="19722513" w14:textId="77777777" w:rsidR="00EE3988" w:rsidRPr="00EE3988" w:rsidRDefault="00EE3988" w:rsidP="00EE3988">
      <w:pPr>
        <w:ind w:hanging="720"/>
        <w:rPr>
          <w:rFonts w:ascii="Garamond" w:hAnsi="Garamond"/>
        </w:rPr>
      </w:pPr>
      <w:r w:rsidRPr="00EE3988">
        <w:rPr>
          <w:rFonts w:ascii="Garamond" w:hAnsi="Garamond"/>
        </w:rPr>
        <w:t xml:space="preserve">DB Schenker (DB Schenker, 2019). Sustainable Logistics: DB Schenker opens first low-carbon distribution terminal in Norway. Available online at </w:t>
      </w:r>
      <w:hyperlink r:id="rId81" w:history="1">
        <w:r w:rsidRPr="00EE3988">
          <w:rPr>
            <w:rFonts w:ascii="Garamond" w:hAnsi="Garamond"/>
            <w:color w:val="0000FF"/>
            <w:u w:val="single"/>
          </w:rPr>
          <w:t>https://www.dbschenker.com/de-en/about/press/corporate-news/sustainable-logistics--db-schenker-opens-first-low-carbon-distribution-terminal-in-norway-594248</w:t>
        </w:r>
      </w:hyperlink>
    </w:p>
    <w:p w14:paraId="4B0502EC" w14:textId="77777777" w:rsidR="00EE3988" w:rsidRPr="00EE3988" w:rsidRDefault="00EE3988" w:rsidP="00EE3988">
      <w:pPr>
        <w:ind w:hanging="720"/>
        <w:rPr>
          <w:rFonts w:ascii="Garamond" w:hAnsi="Garamond"/>
        </w:rPr>
      </w:pPr>
      <w:r w:rsidRPr="00EE3988">
        <w:rPr>
          <w:rFonts w:ascii="Garamond" w:hAnsi="Garamond"/>
        </w:rPr>
        <w:t xml:space="preserve">E-Ferry (E-Ferry, 2020). E-Ferry Demo Area. Available online at </w:t>
      </w:r>
      <w:hyperlink r:id="rId82" w:history="1">
        <w:r w:rsidRPr="00EE3988">
          <w:rPr>
            <w:rFonts w:ascii="Garamond" w:hAnsi="Garamond"/>
            <w:color w:val="0000FF"/>
            <w:u w:val="single"/>
          </w:rPr>
          <w:t>http://e-ferryproject.eu/E-ferry-demonstration-area</w:t>
        </w:r>
      </w:hyperlink>
    </w:p>
    <w:p w14:paraId="1A4DFA58" w14:textId="77777777" w:rsidR="00EE3988" w:rsidRPr="00EE3988" w:rsidRDefault="00EE3988" w:rsidP="00EE3988">
      <w:pPr>
        <w:ind w:hanging="720"/>
        <w:rPr>
          <w:rFonts w:ascii="Garamond" w:hAnsi="Garamond"/>
        </w:rPr>
      </w:pPr>
      <w:r w:rsidRPr="00EE3988">
        <w:rPr>
          <w:rFonts w:ascii="Garamond" w:hAnsi="Garamond"/>
        </w:rPr>
        <w:t xml:space="preserve">Environment and Climate Change Canada (ECCC, 2020a). Guidance document - Heavy-duty Vehicle and Engine Greenhouse Gas Emission Regulations. Available online at </w:t>
      </w:r>
      <w:hyperlink r:id="rId83" w:history="1">
        <w:r w:rsidRPr="00EE3988">
          <w:rPr>
            <w:rFonts w:ascii="Garamond" w:hAnsi="Garamond"/>
            <w:color w:val="0000FF"/>
            <w:u w:val="single"/>
          </w:rPr>
          <w:t>https://ec.gc.ca/lcpe-cepa/default.asp?lang=En&amp;n=71EF09D7-1&amp;offset=3</w:t>
        </w:r>
      </w:hyperlink>
    </w:p>
    <w:p w14:paraId="3C89B6F2" w14:textId="77777777" w:rsidR="00EE3988" w:rsidRPr="00EE3988" w:rsidRDefault="00EE3988" w:rsidP="00EE3988">
      <w:pPr>
        <w:ind w:hanging="720"/>
        <w:rPr>
          <w:rFonts w:ascii="Garamond" w:hAnsi="Garamond"/>
        </w:rPr>
      </w:pPr>
      <w:r w:rsidRPr="00EE3988">
        <w:rPr>
          <w:rFonts w:ascii="Garamond" w:hAnsi="Garamond"/>
        </w:rPr>
        <w:t xml:space="preserve">Environment, Climate Change Canada. (ECCC, 2020). Clean fuel standard. Available online at </w:t>
      </w:r>
      <w:hyperlink r:id="rId84" w:history="1">
        <w:r w:rsidRPr="00EE3988">
          <w:rPr>
            <w:rFonts w:ascii="Garamond" w:hAnsi="Garamond"/>
            <w:color w:val="0000FF"/>
            <w:u w:val="single"/>
          </w:rPr>
          <w:t>https://www.canada.ca/en/environment-climate-change/services/managing-pollution/energy-production/fuel-regulations/clean-fuel-standard.html</w:t>
        </w:r>
      </w:hyperlink>
    </w:p>
    <w:p w14:paraId="0A3C2581" w14:textId="40EA9095" w:rsidR="00EE3988" w:rsidRPr="00EE3988" w:rsidRDefault="00EE3988" w:rsidP="00EE3988">
      <w:pPr>
        <w:ind w:hanging="720"/>
        <w:rPr>
          <w:rFonts w:ascii="Garamond" w:hAnsi="Garamond" w:cs="Calibri"/>
          <w:u w:val="single"/>
        </w:rPr>
      </w:pPr>
      <w:r w:rsidRPr="00EE3988">
        <w:rPr>
          <w:rFonts w:ascii="Garamond" w:hAnsi="Garamond"/>
        </w:rPr>
        <w:t xml:space="preserve">European Alternative Fuels Observatory (EAFO, 2020). European classification for vehicle category, based in UNECE standards. Available online at </w:t>
      </w:r>
      <w:hyperlink r:id="rId85" w:history="1">
        <w:r w:rsidR="0025709B" w:rsidRPr="00857ECB">
          <w:rPr>
            <w:rStyle w:val="Hyperlink"/>
            <w:rFonts w:ascii="Garamond" w:hAnsi="Garamond" w:cs="Calibri"/>
          </w:rPr>
          <w:t>https://www.eafo.eu/knowledge-center/european-vehicle-categories</w:t>
        </w:r>
      </w:hyperlink>
      <w:r w:rsidR="0025709B">
        <w:rPr>
          <w:rFonts w:ascii="Garamond" w:hAnsi="Garamond" w:cs="Calibri"/>
          <w:u w:val="single"/>
        </w:rPr>
        <w:t xml:space="preserve"> </w:t>
      </w:r>
    </w:p>
    <w:p w14:paraId="20A2686D" w14:textId="132CB700" w:rsidR="00CB6325" w:rsidRDefault="00CB6325" w:rsidP="00EE3988">
      <w:pPr>
        <w:ind w:hanging="720"/>
        <w:rPr>
          <w:rFonts w:ascii="Garamond" w:hAnsi="Garamond"/>
        </w:rPr>
      </w:pPr>
      <w:r>
        <w:rPr>
          <w:rFonts w:ascii="Garamond" w:hAnsi="Garamond"/>
        </w:rPr>
        <w:t xml:space="preserve">European Commission (European Commission, 2020). Clean Vehicles Directive. Available online at: </w:t>
      </w:r>
      <w:hyperlink r:id="rId86" w:history="1">
        <w:r w:rsidR="0022552F" w:rsidRPr="00857ECB">
          <w:rPr>
            <w:rStyle w:val="Hyperlink"/>
            <w:rFonts w:ascii="Garamond" w:hAnsi="Garamond"/>
          </w:rPr>
          <w:t>https://ec.europa.eu/transport/themes/urban/clean-vehicles-directive_en</w:t>
        </w:r>
      </w:hyperlink>
      <w:r w:rsidR="0022552F">
        <w:rPr>
          <w:rFonts w:ascii="Garamond" w:hAnsi="Garamond"/>
        </w:rPr>
        <w:t xml:space="preserve"> </w:t>
      </w:r>
    </w:p>
    <w:p w14:paraId="7605E2B5" w14:textId="77777777" w:rsidR="002F51DF" w:rsidRDefault="00EE3988" w:rsidP="00EE3988">
      <w:pPr>
        <w:ind w:hanging="720"/>
        <w:rPr>
          <w:rFonts w:ascii="Garamond" w:hAnsi="Garamond"/>
          <w:color w:val="0000FF"/>
          <w:u w:val="single"/>
        </w:rPr>
      </w:pPr>
      <w:r w:rsidRPr="00EE3988">
        <w:rPr>
          <w:rFonts w:ascii="Garamond" w:hAnsi="Garamond"/>
        </w:rPr>
        <w:lastRenderedPageBreak/>
        <w:t xml:space="preserve">Fast Company (Fast Company, 2019). In Shanghai, every Ikea delivery is now made with an electric vehicle. Available online at </w:t>
      </w:r>
      <w:hyperlink r:id="rId87" w:history="1">
        <w:r w:rsidRPr="00EE3988">
          <w:rPr>
            <w:rFonts w:ascii="Garamond" w:hAnsi="Garamond"/>
            <w:color w:val="0000FF"/>
            <w:u w:val="single"/>
          </w:rPr>
          <w:t>https://www.fastcompany.com/90297201/in-shanghai-every-ikea-delivery-is-now-made-with-an-electric-vehicle</w:t>
        </w:r>
      </w:hyperlink>
    </w:p>
    <w:p w14:paraId="40777332" w14:textId="58A6AF0B" w:rsidR="00EE3988" w:rsidRPr="00EE3988" w:rsidRDefault="00EE3988" w:rsidP="00EE3988">
      <w:pPr>
        <w:ind w:hanging="720"/>
        <w:rPr>
          <w:rFonts w:ascii="Garamond" w:hAnsi="Garamond"/>
        </w:rPr>
      </w:pPr>
      <w:r w:rsidRPr="00AB2E3A">
        <w:rPr>
          <w:rFonts w:ascii="Garamond" w:hAnsi="Garamond"/>
        </w:rPr>
        <w:t>The Climate Group (Climate Group, 2020). EV100. Available online at</w:t>
      </w:r>
      <w:r w:rsidRPr="00AB2E3A">
        <w:rPr>
          <w:rFonts w:ascii="Garamond" w:hAnsi="Garamond"/>
          <w:u w:val="single"/>
        </w:rPr>
        <w:t xml:space="preserve"> </w:t>
      </w:r>
      <w:hyperlink r:id="rId88" w:history="1">
        <w:r w:rsidR="0025709B" w:rsidRPr="00857ECB">
          <w:rPr>
            <w:rStyle w:val="Hyperlink"/>
            <w:rFonts w:ascii="Garamond" w:hAnsi="Garamond"/>
          </w:rPr>
          <w:t>https://www.theclimategroup.org/project/ev100</w:t>
        </w:r>
      </w:hyperlink>
      <w:r w:rsidR="0025709B">
        <w:rPr>
          <w:rFonts w:ascii="Garamond" w:hAnsi="Garamond"/>
          <w:color w:val="0563C1"/>
          <w:u w:val="single"/>
        </w:rPr>
        <w:t xml:space="preserve"> </w:t>
      </w:r>
    </w:p>
    <w:p w14:paraId="418B1AE2" w14:textId="4BD3E6CC" w:rsidR="00EE3988" w:rsidRPr="00EE3988" w:rsidRDefault="00EE3988" w:rsidP="00EE3988">
      <w:pPr>
        <w:ind w:hanging="720"/>
        <w:rPr>
          <w:rFonts w:ascii="Garamond" w:hAnsi="Garamond"/>
        </w:rPr>
      </w:pPr>
      <w:proofErr w:type="spellStart"/>
      <w:r w:rsidRPr="00EE3988">
        <w:rPr>
          <w:rFonts w:ascii="Garamond" w:hAnsi="Garamond"/>
        </w:rPr>
        <w:t>Fjellinjen</w:t>
      </w:r>
      <w:proofErr w:type="spellEnd"/>
      <w:r w:rsidRPr="00EE3988">
        <w:rPr>
          <w:rFonts w:ascii="Garamond" w:hAnsi="Garamond"/>
        </w:rPr>
        <w:t xml:space="preserve"> (</w:t>
      </w:r>
      <w:proofErr w:type="spellStart"/>
      <w:r w:rsidRPr="00EE3988">
        <w:rPr>
          <w:rFonts w:ascii="Garamond" w:hAnsi="Garamond"/>
        </w:rPr>
        <w:t>Fjellinjen</w:t>
      </w:r>
      <w:proofErr w:type="spellEnd"/>
      <w:r w:rsidRPr="00EE3988">
        <w:rPr>
          <w:rFonts w:ascii="Garamond" w:hAnsi="Garamond"/>
        </w:rPr>
        <w:t xml:space="preserve">, 2017). </w:t>
      </w:r>
      <w:r w:rsidR="0025709B" w:rsidRPr="00EE3988">
        <w:rPr>
          <w:rFonts w:ascii="Garamond" w:hAnsi="Garamond"/>
        </w:rPr>
        <w:t>Congestion</w:t>
      </w:r>
      <w:r w:rsidRPr="00EE3988">
        <w:rPr>
          <w:rFonts w:ascii="Garamond" w:hAnsi="Garamond"/>
        </w:rPr>
        <w:t xml:space="preserve"> charge and environmental differentiation rates in Oslo. Available online at </w:t>
      </w:r>
      <w:hyperlink r:id="rId89" w:history="1">
        <w:r w:rsidR="00AB2E3A" w:rsidRPr="00857ECB">
          <w:rPr>
            <w:rStyle w:val="Hyperlink"/>
            <w:rFonts w:ascii="Garamond" w:hAnsi="Garamond"/>
          </w:rPr>
          <w:t>https://www.fjellinjen.no/private/news-archive/congestion-charge-and-environmental-differentiation-rates-in-oslo-article979-967.html</w:t>
        </w:r>
      </w:hyperlink>
    </w:p>
    <w:p w14:paraId="10932227" w14:textId="77777777" w:rsidR="00EE3988" w:rsidRPr="00EE3988" w:rsidRDefault="00EE3988" w:rsidP="00EE3988">
      <w:pPr>
        <w:ind w:hanging="720"/>
        <w:rPr>
          <w:rFonts w:ascii="Garamond" w:hAnsi="Garamond"/>
        </w:rPr>
      </w:pPr>
      <w:r w:rsidRPr="00EE3988">
        <w:rPr>
          <w:rFonts w:ascii="Garamond" w:hAnsi="Garamond"/>
        </w:rPr>
        <w:t xml:space="preserve">Forbes (Forbes, 2019). Beyond </w:t>
      </w:r>
      <w:proofErr w:type="gramStart"/>
      <w:r w:rsidRPr="00EE3988">
        <w:rPr>
          <w:rFonts w:ascii="Garamond" w:hAnsi="Garamond"/>
        </w:rPr>
        <w:t>The</w:t>
      </w:r>
      <w:proofErr w:type="gramEnd"/>
      <w:r w:rsidRPr="00EE3988">
        <w:rPr>
          <w:rFonts w:ascii="Garamond" w:hAnsi="Garamond"/>
        </w:rPr>
        <w:t xml:space="preserve"> Bus: Proterra Repackages Its Electric Transit Tech To Power Heavy-Duty Commercial Vehicles. Available online at </w:t>
      </w:r>
      <w:r w:rsidRPr="00EE3988">
        <w:rPr>
          <w:rFonts w:ascii="Garamond" w:hAnsi="Garamond"/>
          <w:color w:val="0000FF"/>
          <w:u w:val="single"/>
        </w:rPr>
        <w:t>https://www.forbes.com/sites/alanohnsman/2019/08/06/beyond-the-bus-proterra-repackages-its-electric-transit-tech-for-heavy-duty--commercial-vehicles/#4d11ab9e1423</w:t>
      </w:r>
    </w:p>
    <w:p w14:paraId="7791E1AB" w14:textId="77777777" w:rsidR="00EE3988" w:rsidRPr="00EE3988" w:rsidRDefault="00EE3988" w:rsidP="00EE3988">
      <w:pPr>
        <w:ind w:hanging="720"/>
        <w:rPr>
          <w:rFonts w:ascii="Garamond" w:hAnsi="Garamond"/>
        </w:rPr>
      </w:pPr>
      <w:r w:rsidRPr="00EE3988">
        <w:rPr>
          <w:rFonts w:ascii="Garamond" w:hAnsi="Garamond"/>
        </w:rPr>
        <w:t xml:space="preserve">Forbes (Forbes, 2020). </w:t>
      </w:r>
      <w:proofErr w:type="spellStart"/>
      <w:r w:rsidRPr="00EE3988">
        <w:rPr>
          <w:rFonts w:ascii="Garamond" w:hAnsi="Garamond"/>
        </w:rPr>
        <w:t>Rivian</w:t>
      </w:r>
      <w:proofErr w:type="spellEnd"/>
      <w:r w:rsidRPr="00EE3988">
        <w:rPr>
          <w:rFonts w:ascii="Garamond" w:hAnsi="Garamond"/>
        </w:rPr>
        <w:t xml:space="preserve"> Snags $2.5 Billion From T. Rowe Price, Amazon </w:t>
      </w:r>
      <w:proofErr w:type="gramStart"/>
      <w:r w:rsidRPr="00EE3988">
        <w:rPr>
          <w:rFonts w:ascii="Garamond" w:hAnsi="Garamond"/>
        </w:rPr>
        <w:t>To</w:t>
      </w:r>
      <w:proofErr w:type="gramEnd"/>
      <w:r w:rsidRPr="00EE3988">
        <w:rPr>
          <w:rFonts w:ascii="Garamond" w:hAnsi="Garamond"/>
        </w:rPr>
        <w:t xml:space="preserve"> Take On Tesla In Electric Trucks. Available online at </w:t>
      </w:r>
      <w:hyperlink r:id="rId90" w:anchor="17967ae61dd8" w:history="1">
        <w:r w:rsidRPr="00EE3988">
          <w:rPr>
            <w:rFonts w:ascii="Garamond" w:hAnsi="Garamond"/>
            <w:color w:val="0000FF"/>
            <w:u w:val="single"/>
          </w:rPr>
          <w:t>https://www.forbes.com/sites/alanohnsman/2020/07/10/rivian-snags-25-billion-from-t-rowe-price-amazon-to-take-on-tesla-in-electric-trucks/#17967ae61dd8</w:t>
        </w:r>
      </w:hyperlink>
    </w:p>
    <w:p w14:paraId="1C90C809" w14:textId="4D1D4E91" w:rsidR="000953D6" w:rsidRDefault="000953D6" w:rsidP="00EE3988">
      <w:pPr>
        <w:ind w:hanging="720"/>
        <w:rPr>
          <w:rFonts w:ascii="Garamond" w:hAnsi="Garamond"/>
        </w:rPr>
      </w:pPr>
      <w:r>
        <w:rPr>
          <w:rFonts w:ascii="Garamond" w:hAnsi="Garamond"/>
        </w:rPr>
        <w:t xml:space="preserve">Global Commercial Vehicle Drive to Zero (Drive to Zero, 2020). Biggest US Cities Aim to Drive to Zero. Available online at: </w:t>
      </w:r>
      <w:hyperlink r:id="rId91" w:history="1">
        <w:r w:rsidR="00CB6325" w:rsidRPr="00857ECB">
          <w:rPr>
            <w:rStyle w:val="Hyperlink"/>
            <w:rFonts w:ascii="Garamond" w:hAnsi="Garamond"/>
          </w:rPr>
          <w:t>https://globaldrivetozero.org/2020/02/13/biggest-us-cities-aim-to-drive-to-zero/</w:t>
        </w:r>
      </w:hyperlink>
      <w:r w:rsidR="00CB6325">
        <w:rPr>
          <w:rFonts w:ascii="Garamond" w:hAnsi="Garamond"/>
        </w:rPr>
        <w:t xml:space="preserve"> </w:t>
      </w:r>
    </w:p>
    <w:p w14:paraId="27EB270F" w14:textId="5B682CB7" w:rsidR="008E7A18" w:rsidRDefault="008E7A18" w:rsidP="00EE3988">
      <w:pPr>
        <w:ind w:hanging="720"/>
        <w:rPr>
          <w:rFonts w:ascii="Garamond" w:hAnsi="Garamond"/>
        </w:rPr>
      </w:pPr>
      <w:r>
        <w:rPr>
          <w:rFonts w:ascii="Garamond" w:hAnsi="Garamond"/>
        </w:rPr>
        <w:t xml:space="preserve">Global </w:t>
      </w:r>
      <w:r>
        <w:rPr>
          <w:rFonts w:ascii="Garamond" w:hAnsi="Garamond"/>
        </w:rPr>
        <w:t>Commercial Vehicle Drive to Zero (Drive to Zero, 2020</w:t>
      </w:r>
      <w:r w:rsidR="002F51DF">
        <w:rPr>
          <w:rFonts w:ascii="Garamond" w:hAnsi="Garamond"/>
        </w:rPr>
        <w:t>a</w:t>
      </w:r>
      <w:r>
        <w:rPr>
          <w:rFonts w:ascii="Garamond" w:hAnsi="Garamond"/>
        </w:rPr>
        <w:t>).</w:t>
      </w:r>
      <w:r>
        <w:rPr>
          <w:rFonts w:ascii="Garamond" w:hAnsi="Garamond"/>
        </w:rPr>
        <w:t xml:space="preserve"> Policies and Actions Toolkit: Clean or Renewable Fuel Standards. Available online at: </w:t>
      </w:r>
      <w:hyperlink r:id="rId92" w:history="1">
        <w:r w:rsidR="002F51DF" w:rsidRPr="00857ECB">
          <w:rPr>
            <w:rStyle w:val="Hyperlink"/>
            <w:rFonts w:ascii="Garamond" w:hAnsi="Garamond"/>
          </w:rPr>
          <w:t>http://toolkit.globaldrivetozero.org/policies-and-actions/#clean-renewable-fuel-standards</w:t>
        </w:r>
      </w:hyperlink>
      <w:r w:rsidR="002F51DF">
        <w:rPr>
          <w:rFonts w:ascii="Garamond" w:hAnsi="Garamond"/>
        </w:rPr>
        <w:t xml:space="preserve"> </w:t>
      </w:r>
    </w:p>
    <w:p w14:paraId="328B6378" w14:textId="30437BA5" w:rsidR="00EE3988" w:rsidRPr="00EE3988" w:rsidRDefault="00EE3988" w:rsidP="00EE3988">
      <w:pPr>
        <w:ind w:hanging="720"/>
        <w:rPr>
          <w:rFonts w:ascii="Garamond" w:hAnsi="Garamond"/>
        </w:rPr>
      </w:pPr>
      <w:r w:rsidRPr="00EE3988">
        <w:rPr>
          <w:rFonts w:ascii="Garamond" w:hAnsi="Garamond"/>
        </w:rPr>
        <w:t xml:space="preserve">Green Tech Media (GTM, 2018). How Internal Combustion Engines Will Die Out in Eurasia. Available online at </w:t>
      </w:r>
      <w:hyperlink r:id="rId93" w:history="1">
        <w:r w:rsidRPr="00EE3988">
          <w:rPr>
            <w:rFonts w:ascii="Garamond" w:hAnsi="Garamond"/>
            <w:color w:val="0000FF"/>
            <w:u w:val="single"/>
          </w:rPr>
          <w:t>https://www.greentechmedia.com/articles/read/how-internal-combustion-engines-will-die-out-in-eurasia</w:t>
        </w:r>
      </w:hyperlink>
    </w:p>
    <w:p w14:paraId="2873C04C" w14:textId="77777777" w:rsidR="00EE3988" w:rsidRPr="00EE3988" w:rsidRDefault="00EE3988" w:rsidP="00EE3988">
      <w:pPr>
        <w:ind w:hanging="720"/>
        <w:rPr>
          <w:rFonts w:ascii="Garamond" w:hAnsi="Garamond"/>
        </w:rPr>
      </w:pPr>
      <w:r w:rsidRPr="00EE3988">
        <w:rPr>
          <w:rFonts w:ascii="Garamond" w:hAnsi="Garamond"/>
        </w:rPr>
        <w:t xml:space="preserve">Green Tech Media (GTM, 2019). Global Electric Bus Adoption to Triple by 2025. Available online at </w:t>
      </w:r>
      <w:hyperlink r:id="rId94" w:history="1">
        <w:r w:rsidRPr="00EE3988">
          <w:rPr>
            <w:rFonts w:ascii="Garamond" w:hAnsi="Garamond"/>
            <w:color w:val="0000FF"/>
            <w:u w:val="single"/>
          </w:rPr>
          <w:t>https://www.greentechmedia.com/articles/read/global-electric-bus-adoption-is-set-to-triple-by-2025</w:t>
        </w:r>
      </w:hyperlink>
    </w:p>
    <w:p w14:paraId="4A91C2DF" w14:textId="05E5E7F5" w:rsidR="00405D8C" w:rsidRDefault="00405D8C" w:rsidP="00EE3988">
      <w:pPr>
        <w:ind w:hanging="720"/>
        <w:rPr>
          <w:rFonts w:ascii="Garamond" w:hAnsi="Garamond"/>
        </w:rPr>
      </w:pPr>
      <w:r>
        <w:rPr>
          <w:rFonts w:ascii="Garamond" w:hAnsi="Garamond"/>
        </w:rPr>
        <w:t xml:space="preserve">International Energy Agency (IEA, 2017). The Future of Trucks: </w:t>
      </w:r>
      <w:r w:rsidR="004068B6">
        <w:rPr>
          <w:rFonts w:ascii="Garamond" w:hAnsi="Garamond"/>
        </w:rPr>
        <w:t>Implications for Energy and the Environment</w:t>
      </w:r>
      <w:r w:rsidR="00EF66A9">
        <w:rPr>
          <w:rFonts w:ascii="Garamond" w:hAnsi="Garamond"/>
        </w:rPr>
        <w:t xml:space="preserve">. Available online at </w:t>
      </w:r>
      <w:hyperlink r:id="rId95" w:history="1">
        <w:r w:rsidR="0055479A" w:rsidRPr="006B601B">
          <w:rPr>
            <w:rStyle w:val="Hyperlink"/>
            <w:rFonts w:ascii="Garamond" w:hAnsi="Garamond"/>
          </w:rPr>
          <w:t>https://www.iea.org/reports/the-future-of-trucks</w:t>
        </w:r>
      </w:hyperlink>
      <w:r w:rsidR="0055479A">
        <w:rPr>
          <w:rFonts w:ascii="Garamond" w:hAnsi="Garamond"/>
        </w:rPr>
        <w:t xml:space="preserve"> </w:t>
      </w:r>
    </w:p>
    <w:p w14:paraId="1D1D7DF4" w14:textId="27E1F185" w:rsidR="00F83D58" w:rsidRDefault="0069214F" w:rsidP="00EE3988">
      <w:pPr>
        <w:ind w:hanging="720"/>
        <w:rPr>
          <w:rFonts w:ascii="Garamond" w:hAnsi="Garamond"/>
        </w:rPr>
      </w:pPr>
      <w:r>
        <w:rPr>
          <w:rFonts w:ascii="Garamond" w:hAnsi="Garamond"/>
        </w:rPr>
        <w:t>International Energy Agency (IEA, 2020). Global E</w:t>
      </w:r>
      <w:r w:rsidR="00F83D58">
        <w:rPr>
          <w:rFonts w:ascii="Garamond" w:hAnsi="Garamond"/>
        </w:rPr>
        <w:t xml:space="preserve">V Outlook – Entering the decade of electric drive. Available online at </w:t>
      </w:r>
      <w:hyperlink r:id="rId96" w:history="1">
        <w:r w:rsidR="00336EC6" w:rsidRPr="00857ECB">
          <w:rPr>
            <w:rStyle w:val="Hyperlink"/>
            <w:rFonts w:ascii="Garamond" w:hAnsi="Garamond"/>
          </w:rPr>
          <w:t>https://www.iea.org/reports/global-ev-outlook-2020</w:t>
        </w:r>
      </w:hyperlink>
      <w:r w:rsidR="00336EC6">
        <w:rPr>
          <w:rFonts w:ascii="Garamond" w:hAnsi="Garamond"/>
        </w:rPr>
        <w:t xml:space="preserve"> </w:t>
      </w:r>
    </w:p>
    <w:p w14:paraId="7BA4E4F2" w14:textId="523D84D3" w:rsidR="00EE3988" w:rsidRPr="00EE3988" w:rsidRDefault="00EE3988" w:rsidP="00EE3988">
      <w:pPr>
        <w:ind w:hanging="720"/>
        <w:rPr>
          <w:rFonts w:ascii="Garamond" w:hAnsi="Garamond"/>
        </w:rPr>
      </w:pPr>
      <w:r w:rsidRPr="00EE3988">
        <w:rPr>
          <w:rFonts w:ascii="Garamond" w:hAnsi="Garamond"/>
        </w:rPr>
        <w:t xml:space="preserve">McKinsey &amp; Company (McKinsey, 2014). Electric vehicles in Europe: gearing up for a new </w:t>
      </w:r>
      <w:proofErr w:type="gramStart"/>
      <w:r w:rsidRPr="00EE3988">
        <w:rPr>
          <w:rFonts w:ascii="Garamond" w:hAnsi="Garamond"/>
        </w:rPr>
        <w:t>phase?.</w:t>
      </w:r>
      <w:proofErr w:type="gramEnd"/>
      <w:r w:rsidRPr="00EE3988">
        <w:rPr>
          <w:rFonts w:ascii="Garamond" w:hAnsi="Garamond"/>
        </w:rPr>
        <w:t xml:space="preserve"> Available online at </w:t>
      </w:r>
      <w:hyperlink r:id="rId97" w:history="1">
        <w:r w:rsidRPr="00EE3988">
          <w:rPr>
            <w:rFonts w:ascii="Garamond" w:hAnsi="Garamond"/>
            <w:color w:val="0000FF"/>
            <w:u w:val="single"/>
          </w:rPr>
          <w:t>https://www.mckinsey.com/~/media/McKinsey/Locations/Europe%20and%20Middle%20East/Netherlands/Our%20Insights/Electric%20vehicles%20in%20Europe%20Gearing%20up%20for%20a%20new%20phase/Electric%20vehicles%20in%20Europe%20Gearing%20up%20for%20a%20new%20phase.ashx</w:t>
        </w:r>
      </w:hyperlink>
    </w:p>
    <w:p w14:paraId="7FF000BC" w14:textId="77777777" w:rsidR="00EE3988" w:rsidRPr="00EE3988" w:rsidRDefault="00EE3988" w:rsidP="00EE3988">
      <w:pPr>
        <w:ind w:hanging="720"/>
        <w:rPr>
          <w:rFonts w:ascii="Garamond" w:hAnsi="Garamond"/>
        </w:rPr>
      </w:pPr>
      <w:r w:rsidRPr="00EE3988">
        <w:rPr>
          <w:rFonts w:ascii="Garamond" w:hAnsi="Garamond"/>
        </w:rPr>
        <w:t xml:space="preserve">McKinsey &amp; Company (McKinsey, 2018). Fast transit: Why urban e-buses lead electric-vehicle growth. Available online at </w:t>
      </w:r>
      <w:hyperlink r:id="rId98" w:history="1">
        <w:r w:rsidRPr="00EE3988">
          <w:rPr>
            <w:rFonts w:ascii="Garamond" w:hAnsi="Garamond"/>
            <w:color w:val="0000FF"/>
            <w:u w:val="single"/>
          </w:rPr>
          <w:t>https://www.mckinsey.com/industries/automotive-and-assembly/our-insights/fast-transit-why-urban-e-buses-lead-electric-vehicle-growth</w:t>
        </w:r>
      </w:hyperlink>
    </w:p>
    <w:p w14:paraId="355930FF" w14:textId="77777777" w:rsidR="00EE3988" w:rsidRPr="00EE3988" w:rsidRDefault="00EE3988" w:rsidP="00EE3988">
      <w:pPr>
        <w:ind w:hanging="720"/>
        <w:rPr>
          <w:rFonts w:ascii="Garamond" w:hAnsi="Garamond"/>
        </w:rPr>
      </w:pPr>
      <w:r w:rsidRPr="00EE3988">
        <w:rPr>
          <w:rFonts w:ascii="Garamond" w:hAnsi="Garamond"/>
        </w:rPr>
        <w:t xml:space="preserve">McKinsey &amp; Company (McKinsey, 2019). Making Electric Vehicles Profitable. Available online at </w:t>
      </w:r>
      <w:hyperlink r:id="rId99" w:history="1">
        <w:r w:rsidRPr="00EE3988">
          <w:rPr>
            <w:rFonts w:ascii="Garamond" w:hAnsi="Garamond"/>
            <w:color w:val="0000FF"/>
            <w:u w:val="single"/>
          </w:rPr>
          <w:t>https://www.mckinsey.com/industries/automotive-and-assembly/our-insights/making-electric-vehicles-profitable</w:t>
        </w:r>
      </w:hyperlink>
    </w:p>
    <w:p w14:paraId="39B9747D" w14:textId="77777777" w:rsidR="00EE3988" w:rsidRPr="00EE3988" w:rsidRDefault="00EE3988" w:rsidP="00EE3988">
      <w:pPr>
        <w:ind w:hanging="720"/>
        <w:rPr>
          <w:rFonts w:ascii="Garamond" w:hAnsi="Garamond"/>
        </w:rPr>
      </w:pPr>
      <w:r w:rsidRPr="00EE3988">
        <w:rPr>
          <w:rFonts w:ascii="Garamond" w:hAnsi="Garamond"/>
        </w:rPr>
        <w:t xml:space="preserve">NESCAUM (NESCAUM, 2020). Multi-State Medium- and Heavy-Duty Zero Emission Vehicle Memorandum of Understanding. Available online at </w:t>
      </w:r>
      <w:hyperlink r:id="rId100" w:history="1">
        <w:r w:rsidRPr="00EE3988">
          <w:rPr>
            <w:rFonts w:ascii="Garamond" w:hAnsi="Garamond"/>
            <w:color w:val="0000FF"/>
            <w:u w:val="single"/>
          </w:rPr>
          <w:t>https://www.nescaum.org/documents/multistate-truck-zev-governors-mou-20200714.pdf</w:t>
        </w:r>
      </w:hyperlink>
      <w:r w:rsidRPr="00EE3988">
        <w:rPr>
          <w:rFonts w:ascii="Garamond" w:hAnsi="Garamond"/>
        </w:rPr>
        <w:t xml:space="preserve"> </w:t>
      </w:r>
    </w:p>
    <w:p w14:paraId="611AE04E" w14:textId="6F400E7E" w:rsidR="001E0F9A" w:rsidRDefault="001E0F9A" w:rsidP="00EE3988">
      <w:pPr>
        <w:ind w:hanging="720"/>
        <w:rPr>
          <w:rFonts w:ascii="Garamond" w:hAnsi="Garamond"/>
        </w:rPr>
      </w:pPr>
      <w:r>
        <w:rPr>
          <w:rFonts w:ascii="Garamond" w:hAnsi="Garamond"/>
        </w:rPr>
        <w:lastRenderedPageBreak/>
        <w:t>New York Power Authority</w:t>
      </w:r>
      <w:r w:rsidR="006879A4">
        <w:rPr>
          <w:rFonts w:ascii="Garamond" w:hAnsi="Garamond"/>
        </w:rPr>
        <w:t xml:space="preserve"> (NYPA, 2020). </w:t>
      </w:r>
      <w:proofErr w:type="spellStart"/>
      <w:r w:rsidR="006879A4">
        <w:rPr>
          <w:rFonts w:ascii="Garamond" w:hAnsi="Garamond"/>
        </w:rPr>
        <w:t>EVolve</w:t>
      </w:r>
      <w:proofErr w:type="spellEnd"/>
      <w:r w:rsidR="006879A4">
        <w:rPr>
          <w:rFonts w:ascii="Garamond" w:hAnsi="Garamond"/>
        </w:rPr>
        <w:t xml:space="preserve"> NY. Available online at: </w:t>
      </w:r>
      <w:hyperlink r:id="rId101" w:history="1">
        <w:r w:rsidR="00EB1682" w:rsidRPr="00857ECB">
          <w:rPr>
            <w:rStyle w:val="Hyperlink"/>
            <w:rFonts w:ascii="Garamond" w:hAnsi="Garamond"/>
          </w:rPr>
          <w:t>https://www.nypa.gov/services/clean-energy-advisory-services/evolve-ny</w:t>
        </w:r>
      </w:hyperlink>
      <w:r w:rsidR="00EB1682">
        <w:rPr>
          <w:rFonts w:ascii="Garamond" w:hAnsi="Garamond"/>
        </w:rPr>
        <w:t xml:space="preserve"> </w:t>
      </w:r>
    </w:p>
    <w:p w14:paraId="1AB6AEB0" w14:textId="7710F884" w:rsidR="00EE3988" w:rsidRPr="00EE3988" w:rsidRDefault="00EE3988" w:rsidP="00EE3988">
      <w:pPr>
        <w:ind w:hanging="720"/>
        <w:rPr>
          <w:rFonts w:ascii="Garamond" w:hAnsi="Garamond"/>
        </w:rPr>
      </w:pPr>
      <w:r w:rsidRPr="00EE3988">
        <w:rPr>
          <w:rFonts w:ascii="Garamond" w:hAnsi="Garamond"/>
        </w:rPr>
        <w:t xml:space="preserve">New York State Energy Research and Development Authority (NYSERDA, 2006). Available online at </w:t>
      </w:r>
      <w:hyperlink r:id="rId102" w:history="1">
        <w:r w:rsidRPr="00EE3988">
          <w:rPr>
            <w:rFonts w:ascii="Garamond" w:hAnsi="Garamond"/>
            <w:color w:val="0000FF"/>
            <w:u w:val="single"/>
          </w:rPr>
          <w:t>https://www.nyserda.ny.gov/-/media/Files/Publications/Research/Other-Technical-Reports/building-fire-safety-codes-hydrogen-tech-app.pdf</w:t>
        </w:r>
      </w:hyperlink>
      <w:r w:rsidRPr="00EE3988">
        <w:rPr>
          <w:rFonts w:ascii="Garamond" w:hAnsi="Garamond"/>
        </w:rPr>
        <w:t xml:space="preserve"> </w:t>
      </w:r>
    </w:p>
    <w:p w14:paraId="6D585028" w14:textId="77777777" w:rsidR="00EE3988" w:rsidRPr="00EE3988" w:rsidRDefault="00EE3988" w:rsidP="00EE3988">
      <w:pPr>
        <w:ind w:hanging="720"/>
        <w:rPr>
          <w:rFonts w:ascii="Garamond" w:hAnsi="Garamond"/>
        </w:rPr>
      </w:pPr>
      <w:r w:rsidRPr="00EE3988">
        <w:rPr>
          <w:rFonts w:ascii="Garamond" w:hAnsi="Garamond"/>
        </w:rPr>
        <w:t xml:space="preserve">New York State Energy Research and Development Authority (NYSERDA, 2020). NY Truck Voucher Incentive Program. Available online at </w:t>
      </w:r>
      <w:hyperlink r:id="rId103" w:history="1">
        <w:r w:rsidRPr="00EE3988">
          <w:rPr>
            <w:rFonts w:ascii="Garamond" w:hAnsi="Garamond"/>
            <w:color w:val="0000FF"/>
            <w:u w:val="single"/>
          </w:rPr>
          <w:t>https://www.nyserda.ny.gov/All%20Programs/Programs/Truck%20Voucher%20Program</w:t>
        </w:r>
      </w:hyperlink>
    </w:p>
    <w:p w14:paraId="7007ED8A" w14:textId="77777777" w:rsidR="00EE3988" w:rsidRPr="00EE3988" w:rsidRDefault="00EE3988" w:rsidP="00EE3988">
      <w:pPr>
        <w:ind w:hanging="720"/>
        <w:rPr>
          <w:rFonts w:ascii="Garamond" w:hAnsi="Garamond"/>
        </w:rPr>
      </w:pPr>
      <w:r w:rsidRPr="00EE3988">
        <w:rPr>
          <w:rFonts w:ascii="Garamond" w:hAnsi="Garamond"/>
        </w:rPr>
        <w:t xml:space="preserve">New York State Energy Research and Development Authority (NYSERDA, 2014). New York City Green Loading Zones Study. Available online at </w:t>
      </w:r>
      <w:hyperlink r:id="rId104" w:history="1">
        <w:r w:rsidRPr="00EE3988">
          <w:rPr>
            <w:rFonts w:ascii="Garamond" w:hAnsi="Garamond"/>
            <w:color w:val="0000FF"/>
            <w:u w:val="single"/>
          </w:rPr>
          <w:t>https://www.nyserda.ny.gov/-/media/Files/Publications/Research/Transportation/New-York-City-Green-Loading-Zones-Study.pdf</w:t>
        </w:r>
      </w:hyperlink>
    </w:p>
    <w:p w14:paraId="7B30AD42" w14:textId="77777777" w:rsidR="00EE3988" w:rsidRPr="00EE3988" w:rsidRDefault="00EE3988" w:rsidP="00EE3988">
      <w:pPr>
        <w:ind w:hanging="720"/>
        <w:rPr>
          <w:rFonts w:ascii="Garamond" w:hAnsi="Garamond"/>
        </w:rPr>
      </w:pPr>
      <w:r w:rsidRPr="00EE3988">
        <w:rPr>
          <w:rFonts w:ascii="Garamond" w:hAnsi="Garamond"/>
        </w:rPr>
        <w:t xml:space="preserve">NYC Department of Transportation (NYC DOT, 2020). Traffic Rules. Available online at </w:t>
      </w:r>
      <w:hyperlink r:id="rId105" w:history="1">
        <w:r w:rsidRPr="00EE3988">
          <w:rPr>
            <w:rFonts w:ascii="Garamond" w:hAnsi="Garamond"/>
            <w:color w:val="0000FF"/>
            <w:u w:val="single"/>
          </w:rPr>
          <w:t>http://www.nyc.gov/html/dot/downloads/pdf/trafrule.pdf</w:t>
        </w:r>
      </w:hyperlink>
    </w:p>
    <w:p w14:paraId="7D44E9AB" w14:textId="4A8F2613" w:rsidR="0025709B" w:rsidRDefault="0025709B" w:rsidP="00EE3988">
      <w:pPr>
        <w:ind w:hanging="720"/>
        <w:rPr>
          <w:rFonts w:ascii="Garamond" w:hAnsi="Garamond"/>
        </w:rPr>
      </w:pPr>
      <w:r>
        <w:rPr>
          <w:rFonts w:ascii="Garamond" w:hAnsi="Garamond"/>
        </w:rPr>
        <w:t>Office for Low Emission Vehicles, United Kingdom (UK</w:t>
      </w:r>
      <w:r w:rsidR="007F7ED8">
        <w:rPr>
          <w:rFonts w:ascii="Garamond" w:hAnsi="Garamond"/>
        </w:rPr>
        <w:t xml:space="preserve"> Low-Emission Vehicles, 2020). Government vision for the rapid chargepoint network in England. Available online at: </w:t>
      </w:r>
      <w:hyperlink r:id="rId106" w:history="1">
        <w:r w:rsidR="005F53F8" w:rsidRPr="00857ECB">
          <w:rPr>
            <w:rStyle w:val="Hyperlink"/>
            <w:rFonts w:ascii="Garamond" w:hAnsi="Garamond"/>
          </w:rPr>
          <w:t>https://www.gov.uk/government/publications/government-vision-for-the-rapid-chargepoint-network-in-england/government-vision-for-the-rapid-chargepoint-network-in-england</w:t>
        </w:r>
      </w:hyperlink>
      <w:r w:rsidR="005F53F8">
        <w:rPr>
          <w:rFonts w:ascii="Garamond" w:hAnsi="Garamond"/>
        </w:rPr>
        <w:t xml:space="preserve"> </w:t>
      </w:r>
    </w:p>
    <w:p w14:paraId="0881A744" w14:textId="51C7E910" w:rsidR="004A1DA8" w:rsidRDefault="004A1DA8" w:rsidP="00EE3988">
      <w:pPr>
        <w:ind w:hanging="720"/>
        <w:rPr>
          <w:rFonts w:ascii="Garamond" w:hAnsi="Garamond"/>
        </w:rPr>
      </w:pPr>
      <w:r>
        <w:rPr>
          <w:rFonts w:ascii="Garamond" w:hAnsi="Garamond"/>
        </w:rPr>
        <w:t xml:space="preserve">Pacific Gas and Electric (PG&amp;E, 2020). Business Electric Vehicle (EV) rate plans. Available online at: </w:t>
      </w:r>
      <w:hyperlink r:id="rId107" w:history="1">
        <w:r w:rsidR="00D35811" w:rsidRPr="00857ECB">
          <w:rPr>
            <w:rStyle w:val="Hyperlink"/>
            <w:rFonts w:ascii="Garamond" w:hAnsi="Garamond"/>
          </w:rPr>
          <w:t>https://www.pge.com/en_US/small-medium-business/energy-alternatives/clean-vehicles/ev-charge-network/electric-vehicle-rate-plans.page</w:t>
        </w:r>
      </w:hyperlink>
      <w:r w:rsidR="00D35811">
        <w:rPr>
          <w:rFonts w:ascii="Garamond" w:hAnsi="Garamond"/>
        </w:rPr>
        <w:t xml:space="preserve"> </w:t>
      </w:r>
    </w:p>
    <w:p w14:paraId="44B6D7B0" w14:textId="0B48F23C" w:rsidR="00A44D3D" w:rsidRDefault="00A44D3D" w:rsidP="00EE3988">
      <w:pPr>
        <w:ind w:hanging="720"/>
        <w:rPr>
          <w:rFonts w:ascii="Garamond" w:hAnsi="Garamond"/>
        </w:rPr>
      </w:pPr>
      <w:r>
        <w:rPr>
          <w:rFonts w:ascii="Garamond" w:hAnsi="Garamond"/>
        </w:rPr>
        <w:t>Popular Mechanics (Popular Mechanics, 2019). The World’s Largest Electric Vehicle is a Dump Truck</w:t>
      </w:r>
      <w:r w:rsidR="00F85FC5">
        <w:rPr>
          <w:rFonts w:ascii="Garamond" w:hAnsi="Garamond"/>
        </w:rPr>
        <w:t xml:space="preserve">. Available online at: </w:t>
      </w:r>
      <w:hyperlink r:id="rId108" w:history="1">
        <w:r w:rsidR="00F85FC5" w:rsidRPr="00857ECB">
          <w:rPr>
            <w:rStyle w:val="Hyperlink"/>
            <w:rFonts w:ascii="Garamond" w:hAnsi="Garamond"/>
          </w:rPr>
          <w:t>https://www.popularmechanics.com/technology/infrastructure/a28748306/worlds-largest-electric-vehicle-dump-truck/</w:t>
        </w:r>
      </w:hyperlink>
      <w:r w:rsidR="00F85FC5">
        <w:rPr>
          <w:rFonts w:ascii="Garamond" w:hAnsi="Garamond"/>
        </w:rPr>
        <w:t xml:space="preserve"> </w:t>
      </w:r>
    </w:p>
    <w:p w14:paraId="261B5B48" w14:textId="64A9A0F6" w:rsidR="00F85FC5" w:rsidRDefault="00F85FC5" w:rsidP="00EE3988">
      <w:pPr>
        <w:ind w:hanging="720"/>
        <w:rPr>
          <w:rFonts w:ascii="Garamond" w:hAnsi="Garamond"/>
        </w:rPr>
      </w:pPr>
      <w:r>
        <w:rPr>
          <w:rFonts w:ascii="Garamond" w:hAnsi="Garamond"/>
        </w:rPr>
        <w:t xml:space="preserve">Port of Los Angeles (Port of LA, 2020). Zero Emissions Technologies. Available online at: </w:t>
      </w:r>
      <w:hyperlink r:id="rId109" w:history="1">
        <w:r w:rsidR="005413D5" w:rsidRPr="00857ECB">
          <w:rPr>
            <w:rStyle w:val="Hyperlink"/>
            <w:rFonts w:ascii="Garamond" w:hAnsi="Garamond"/>
          </w:rPr>
          <w:t>https://www.portoflosangeles.org/environment/air-quality/zero-emissions-technologies</w:t>
        </w:r>
      </w:hyperlink>
      <w:r w:rsidR="005413D5">
        <w:rPr>
          <w:rFonts w:ascii="Garamond" w:hAnsi="Garamond"/>
        </w:rPr>
        <w:t xml:space="preserve"> </w:t>
      </w:r>
    </w:p>
    <w:p w14:paraId="516380AF" w14:textId="076926C0" w:rsidR="00275191" w:rsidRDefault="00275191" w:rsidP="00EE3988">
      <w:pPr>
        <w:ind w:hanging="720"/>
        <w:rPr>
          <w:rFonts w:ascii="Garamond" w:hAnsi="Garamond"/>
        </w:rPr>
      </w:pPr>
      <w:r>
        <w:rPr>
          <w:rFonts w:ascii="Garamond" w:hAnsi="Garamond"/>
        </w:rPr>
        <w:t xml:space="preserve">Publications Office of the EU </w:t>
      </w:r>
      <w:r w:rsidR="004C6962">
        <w:rPr>
          <w:rFonts w:ascii="Garamond" w:hAnsi="Garamond"/>
        </w:rPr>
        <w:t>(</w:t>
      </w:r>
      <w:r>
        <w:rPr>
          <w:rFonts w:ascii="Garamond" w:hAnsi="Garamond"/>
        </w:rPr>
        <w:t>EU Publications, 2019)</w:t>
      </w:r>
      <w:r w:rsidR="004C6962">
        <w:rPr>
          <w:rFonts w:ascii="Garamond" w:hAnsi="Garamond"/>
        </w:rPr>
        <w:t xml:space="preserve">. Regulation </w:t>
      </w:r>
      <w:r w:rsidR="00623897" w:rsidRPr="00623897">
        <w:rPr>
          <w:rFonts w:ascii="Garamond" w:hAnsi="Garamond"/>
        </w:rPr>
        <w:t>2019/1242 of the European Parliament and of the Council of 20 June 2019 setting CO2 emission performance standards for new heavy-duty vehicles and amending Regulations (EC) No 595/2009 and (EU) 2018/956 of the European Parliament and of the Council and Council Directive 96/53/EC</w:t>
      </w:r>
      <w:r w:rsidR="00623897">
        <w:rPr>
          <w:rFonts w:ascii="Garamond" w:hAnsi="Garamond"/>
        </w:rPr>
        <w:t xml:space="preserve">. Available online at: </w:t>
      </w:r>
      <w:hyperlink r:id="rId110" w:history="1">
        <w:r w:rsidR="009C3746" w:rsidRPr="00857ECB">
          <w:rPr>
            <w:rStyle w:val="Hyperlink"/>
            <w:rFonts w:ascii="Garamond" w:hAnsi="Garamond"/>
          </w:rPr>
          <w:t>https://op.europa.eu/en/publication-detail/-/publication/e99bedda-ae8e-11e9-9d01-01aa75ed71a1</w:t>
        </w:r>
      </w:hyperlink>
      <w:r w:rsidR="009C3746">
        <w:rPr>
          <w:rFonts w:ascii="Garamond" w:hAnsi="Garamond"/>
        </w:rPr>
        <w:t xml:space="preserve"> </w:t>
      </w:r>
    </w:p>
    <w:p w14:paraId="46AAED0B" w14:textId="6B12F590" w:rsidR="00105EB0" w:rsidRDefault="00105EB0" w:rsidP="00EE3988">
      <w:pPr>
        <w:ind w:hanging="720"/>
        <w:rPr>
          <w:rFonts w:ascii="Garamond" w:hAnsi="Garamond"/>
        </w:rPr>
      </w:pPr>
      <w:r>
        <w:rPr>
          <w:rFonts w:ascii="Garamond" w:hAnsi="Garamond"/>
        </w:rPr>
        <w:t>Reuters (Reuters, 2020</w:t>
      </w:r>
      <w:r w:rsidR="00CD3782">
        <w:rPr>
          <w:rFonts w:ascii="Garamond" w:hAnsi="Garamond"/>
        </w:rPr>
        <w:t xml:space="preserve">). Hyundai delivers first fuel cell trucks to Switzerland. Available online at: </w:t>
      </w:r>
      <w:hyperlink r:id="rId111" w:history="1">
        <w:r w:rsidR="00CD3782" w:rsidRPr="00857ECB">
          <w:rPr>
            <w:rStyle w:val="Hyperlink"/>
            <w:rFonts w:ascii="Garamond" w:hAnsi="Garamond"/>
          </w:rPr>
          <w:t>https://www.reuters.com/article/hyundai-switzerland-hydrogen-trucks/hyundai-delivers-first-fuel-cell-trucks-to-switzerland-idINKBN26S1FM</w:t>
        </w:r>
      </w:hyperlink>
      <w:r w:rsidR="00CD3782">
        <w:rPr>
          <w:rFonts w:ascii="Garamond" w:hAnsi="Garamond"/>
        </w:rPr>
        <w:t xml:space="preserve"> </w:t>
      </w:r>
    </w:p>
    <w:p w14:paraId="7AAC3559" w14:textId="68F97FDB" w:rsidR="001513B6" w:rsidRDefault="001513B6" w:rsidP="00EE3988">
      <w:pPr>
        <w:ind w:hanging="720"/>
        <w:rPr>
          <w:rFonts w:ascii="Garamond" w:hAnsi="Garamond"/>
        </w:rPr>
      </w:pPr>
      <w:r>
        <w:rPr>
          <w:rFonts w:ascii="Garamond" w:hAnsi="Garamond"/>
        </w:rPr>
        <w:t>Rocky Mountain Institute</w:t>
      </w:r>
      <w:r w:rsidR="00503427">
        <w:rPr>
          <w:rFonts w:ascii="Garamond" w:hAnsi="Garamond"/>
        </w:rPr>
        <w:t xml:space="preserve"> (RMI, 2019). Shenzhen: A City Miles Ahead. Available online at: </w:t>
      </w:r>
      <w:hyperlink r:id="rId112" w:history="1">
        <w:r w:rsidR="00503427" w:rsidRPr="00857ECB">
          <w:rPr>
            <w:rStyle w:val="Hyperlink"/>
            <w:rFonts w:ascii="Garamond" w:hAnsi="Garamond"/>
          </w:rPr>
          <w:t>https://rmi.org/shenzhen-a-city-miles-ahead/</w:t>
        </w:r>
      </w:hyperlink>
      <w:r w:rsidR="00503427">
        <w:rPr>
          <w:rFonts w:ascii="Garamond" w:hAnsi="Garamond"/>
        </w:rPr>
        <w:t xml:space="preserve"> </w:t>
      </w:r>
    </w:p>
    <w:p w14:paraId="11C07B65" w14:textId="097C2536" w:rsidR="00EE3988" w:rsidRPr="00EE3988" w:rsidRDefault="00EE3988" w:rsidP="00EE3988">
      <w:pPr>
        <w:ind w:hanging="720"/>
        <w:rPr>
          <w:rFonts w:ascii="Garamond" w:hAnsi="Garamond"/>
        </w:rPr>
      </w:pPr>
      <w:r w:rsidRPr="00EE3988">
        <w:rPr>
          <w:rFonts w:ascii="Garamond" w:hAnsi="Garamond"/>
        </w:rPr>
        <w:t xml:space="preserve">San Pedro Bay Ports (San Pedro Bay Ports, 2020). Clean Air Action Plan. Available online at </w:t>
      </w:r>
      <w:hyperlink r:id="rId113" w:history="1">
        <w:r w:rsidRPr="00EE3988">
          <w:rPr>
            <w:rFonts w:ascii="Garamond" w:hAnsi="Garamond"/>
            <w:color w:val="0000FF"/>
            <w:u w:val="single"/>
          </w:rPr>
          <w:t>https://cleanairactionplan.org/documents/final-drayage-truck-feasibility-assessment.pdf/</w:t>
        </w:r>
      </w:hyperlink>
    </w:p>
    <w:p w14:paraId="23FB510C" w14:textId="11B523A5" w:rsidR="00F5515C" w:rsidRDefault="00F5515C" w:rsidP="00EE3988">
      <w:pPr>
        <w:ind w:hanging="720"/>
        <w:rPr>
          <w:rFonts w:ascii="Garamond" w:hAnsi="Garamond"/>
        </w:rPr>
      </w:pPr>
      <w:r>
        <w:rPr>
          <w:rFonts w:ascii="Garamond" w:hAnsi="Garamond"/>
        </w:rPr>
        <w:t xml:space="preserve">Switzerland Federal Customs Administration (Swiss Customs, 2020). Heavy </w:t>
      </w:r>
      <w:r w:rsidR="005301CE">
        <w:rPr>
          <w:rFonts w:ascii="Garamond" w:hAnsi="Garamond"/>
        </w:rPr>
        <w:t xml:space="preserve">vehicle charges. Available online at: </w:t>
      </w:r>
      <w:hyperlink r:id="rId114" w:history="1">
        <w:r w:rsidR="005301CE" w:rsidRPr="00857ECB">
          <w:rPr>
            <w:rStyle w:val="Hyperlink"/>
            <w:rFonts w:ascii="Garamond" w:hAnsi="Garamond"/>
          </w:rPr>
          <w:t>https://www.ezv.admin.ch/ezv/en/home/information-companies/transport--travel-documents--road-taxes/heavy-vehicle-charges--performance-related-and-lump-sum-.html</w:t>
        </w:r>
      </w:hyperlink>
      <w:r w:rsidR="005301CE">
        <w:rPr>
          <w:rFonts w:ascii="Garamond" w:hAnsi="Garamond"/>
        </w:rPr>
        <w:t xml:space="preserve"> </w:t>
      </w:r>
    </w:p>
    <w:p w14:paraId="204A937B" w14:textId="7A3024A9" w:rsidR="00EE3988" w:rsidRPr="00EE3988" w:rsidRDefault="00EE3988" w:rsidP="00EE3988">
      <w:pPr>
        <w:ind w:hanging="720"/>
        <w:rPr>
          <w:rFonts w:ascii="Garamond" w:hAnsi="Garamond"/>
        </w:rPr>
      </w:pPr>
      <w:r w:rsidRPr="00EE3988">
        <w:rPr>
          <w:rFonts w:ascii="Garamond" w:hAnsi="Garamond"/>
        </w:rPr>
        <w:t xml:space="preserve">The Economist (The Economist, 2018). Why a license plate costs more than a car in Shanghai. Available online at </w:t>
      </w:r>
      <w:hyperlink r:id="rId115" w:history="1">
        <w:r w:rsidRPr="00EE3988">
          <w:rPr>
            <w:rFonts w:ascii="Garamond" w:hAnsi="Garamond"/>
            <w:color w:val="0000FF"/>
            <w:u w:val="single"/>
          </w:rPr>
          <w:t>https://www.economist.com/china/2018/04/19/why-a-licence-plate-costs-more-than-a-car-in-shanghai</w:t>
        </w:r>
      </w:hyperlink>
    </w:p>
    <w:p w14:paraId="68089B97" w14:textId="184E28B3" w:rsidR="00EE3988" w:rsidRPr="00EE3988" w:rsidRDefault="001513B6" w:rsidP="00EE3988">
      <w:pPr>
        <w:ind w:hanging="720"/>
        <w:rPr>
          <w:rFonts w:ascii="Garamond" w:hAnsi="Garamond"/>
        </w:rPr>
      </w:pPr>
      <w:r>
        <w:rPr>
          <w:rFonts w:ascii="Garamond" w:hAnsi="Garamond"/>
        </w:rPr>
        <w:t xml:space="preserve">The </w:t>
      </w:r>
      <w:r w:rsidR="00EE3988" w:rsidRPr="00EE3988">
        <w:rPr>
          <w:rFonts w:ascii="Garamond" w:hAnsi="Garamond"/>
        </w:rPr>
        <w:t xml:space="preserve">International Council on Clean Transportation (ICCT, 2019). The Surge of electric vehicles in United States cities. Available online at </w:t>
      </w:r>
      <w:hyperlink r:id="rId116" w:history="1">
        <w:r w:rsidR="00EE3988" w:rsidRPr="00EE3988">
          <w:rPr>
            <w:rFonts w:ascii="Garamond" w:hAnsi="Garamond"/>
            <w:color w:val="0000FF"/>
            <w:u w:val="single"/>
          </w:rPr>
          <w:t>https://theicct.org/sites/default/files/publications/ICCT_EV_surge_US_cities_20190610.pdf</w:t>
        </w:r>
      </w:hyperlink>
    </w:p>
    <w:p w14:paraId="2D45DBC1" w14:textId="77777777" w:rsidR="00EE3988" w:rsidRPr="00EE3988" w:rsidRDefault="00EE3988" w:rsidP="00EE3988">
      <w:pPr>
        <w:ind w:hanging="720"/>
        <w:rPr>
          <w:rFonts w:ascii="Garamond" w:hAnsi="Garamond"/>
        </w:rPr>
      </w:pPr>
      <w:r w:rsidRPr="00EE3988">
        <w:rPr>
          <w:rFonts w:ascii="Garamond" w:hAnsi="Garamond"/>
        </w:rPr>
        <w:lastRenderedPageBreak/>
        <w:t xml:space="preserve">The International Council on Clean Transportation (ICCT, 2019a). Overview of global zero-emission vehicle mandate programs. Available online at </w:t>
      </w:r>
      <w:hyperlink r:id="rId117" w:history="1">
        <w:r w:rsidRPr="00EE3988">
          <w:rPr>
            <w:rFonts w:ascii="Garamond" w:hAnsi="Garamond"/>
            <w:color w:val="0000FF"/>
            <w:u w:val="single"/>
          </w:rPr>
          <w:t>https://theicct.org/sites/default/files/publications/Zero%20Emission%20Vehicle%20Mandate%20Briefing%20v2.pdf</w:t>
        </w:r>
      </w:hyperlink>
    </w:p>
    <w:p w14:paraId="6C0C442A" w14:textId="77777777" w:rsidR="00EE3988" w:rsidRPr="00EE3988" w:rsidRDefault="00EE3988" w:rsidP="00EE3988">
      <w:pPr>
        <w:ind w:hanging="720"/>
        <w:rPr>
          <w:rFonts w:ascii="Garamond" w:hAnsi="Garamond"/>
        </w:rPr>
      </w:pPr>
      <w:r w:rsidRPr="00EE3988">
        <w:rPr>
          <w:rFonts w:ascii="Garamond" w:hAnsi="Garamond"/>
        </w:rPr>
        <w:t xml:space="preserve">The International Council on Clean Transportation. (ICCT, 2018). Market segmentation and duty cycles. Available online at </w:t>
      </w:r>
      <w:hyperlink r:id="rId118" w:history="1">
        <w:r w:rsidRPr="00EE3988">
          <w:rPr>
            <w:rFonts w:ascii="Garamond" w:hAnsi="Garamond"/>
            <w:color w:val="0000FF"/>
            <w:u w:val="single"/>
          </w:rPr>
          <w:t>https://theicct.org/sites/default/files/Market-Segmentation-and-Duty-Cycles_Rodriguez_ICCT.pdf</w:t>
        </w:r>
      </w:hyperlink>
    </w:p>
    <w:p w14:paraId="2DA00348" w14:textId="77777777" w:rsidR="00EE3988" w:rsidRPr="00EE3988" w:rsidRDefault="00EE3988" w:rsidP="00EE3988">
      <w:pPr>
        <w:ind w:hanging="720"/>
        <w:rPr>
          <w:rFonts w:ascii="Garamond" w:hAnsi="Garamond"/>
        </w:rPr>
      </w:pPr>
      <w:r w:rsidRPr="00EE3988">
        <w:rPr>
          <w:rFonts w:ascii="Garamond" w:hAnsi="Garamond"/>
        </w:rPr>
        <w:t xml:space="preserve">The International Council on Clean Transportation. (ICCT, 2020). The end of the road? An overview of combustion-engine car phase-out announcements across Europe. Available online at </w:t>
      </w:r>
      <w:hyperlink r:id="rId119" w:history="1">
        <w:r w:rsidRPr="00EE3988">
          <w:rPr>
            <w:rFonts w:ascii="Garamond" w:hAnsi="Garamond"/>
            <w:color w:val="0000FF"/>
            <w:u w:val="single"/>
          </w:rPr>
          <w:t>https://theicct.org/publications/combustion-engine-car-phase-out-EU</w:t>
        </w:r>
      </w:hyperlink>
    </w:p>
    <w:p w14:paraId="4F6E81CB" w14:textId="77960267" w:rsidR="00423833" w:rsidRDefault="00423833" w:rsidP="00EE3988">
      <w:pPr>
        <w:ind w:hanging="720"/>
        <w:rPr>
          <w:rFonts w:ascii="Garamond" w:hAnsi="Garamond"/>
        </w:rPr>
      </w:pPr>
      <w:r w:rsidRPr="00EE3988">
        <w:rPr>
          <w:rFonts w:ascii="Garamond" w:hAnsi="Garamond"/>
        </w:rPr>
        <w:t>The International Council on Clean Transportation. (ICCT, 2020</w:t>
      </w:r>
      <w:r w:rsidR="003A6391">
        <w:rPr>
          <w:rFonts w:ascii="Garamond" w:hAnsi="Garamond"/>
        </w:rPr>
        <w:t>a</w:t>
      </w:r>
      <w:r w:rsidRPr="00EE3988">
        <w:rPr>
          <w:rFonts w:ascii="Garamond" w:hAnsi="Garamond"/>
        </w:rPr>
        <w:t>).</w:t>
      </w:r>
      <w:r w:rsidR="003A6391">
        <w:rPr>
          <w:rFonts w:ascii="Garamond" w:hAnsi="Garamond"/>
        </w:rPr>
        <w:t xml:space="preserve"> Electric vehicle capitals: Cities aim for all-electric mobility. Available online at: </w:t>
      </w:r>
      <w:hyperlink r:id="rId120" w:history="1">
        <w:r w:rsidR="003A6391" w:rsidRPr="00857ECB">
          <w:rPr>
            <w:rStyle w:val="Hyperlink"/>
            <w:rFonts w:ascii="Garamond" w:hAnsi="Garamond"/>
          </w:rPr>
          <w:t>https://theicct.org/sites/default/files/publications/ev-capitals-update-sept2020.pdf</w:t>
        </w:r>
      </w:hyperlink>
      <w:r w:rsidR="003A6391">
        <w:rPr>
          <w:rFonts w:ascii="Garamond" w:hAnsi="Garamond"/>
        </w:rPr>
        <w:t xml:space="preserve"> </w:t>
      </w:r>
    </w:p>
    <w:p w14:paraId="6EAABD17" w14:textId="2490508A" w:rsidR="00EE3988" w:rsidRPr="00EE3988" w:rsidRDefault="00EE3988" w:rsidP="00EE3988">
      <w:pPr>
        <w:ind w:hanging="720"/>
        <w:rPr>
          <w:rFonts w:ascii="Garamond" w:hAnsi="Garamond"/>
        </w:rPr>
      </w:pPr>
      <w:r w:rsidRPr="00EE3988">
        <w:rPr>
          <w:rFonts w:ascii="Garamond" w:hAnsi="Garamond"/>
        </w:rPr>
        <w:t xml:space="preserve">The Lion Electric (Lion, 2020). Lion Trucks. Available online at </w:t>
      </w:r>
      <w:hyperlink r:id="rId121" w:history="1">
        <w:r w:rsidRPr="00EE3988">
          <w:rPr>
            <w:rFonts w:ascii="Garamond" w:hAnsi="Garamond"/>
            <w:color w:val="0000FF"/>
            <w:u w:val="single"/>
          </w:rPr>
          <w:t>https://thelionelectric.com/en/products/electric_truck_class8</w:t>
        </w:r>
      </w:hyperlink>
    </w:p>
    <w:p w14:paraId="45D3D1BF" w14:textId="1763F763" w:rsidR="00A014E7" w:rsidRDefault="00A014E7" w:rsidP="00EE3988">
      <w:pPr>
        <w:ind w:hanging="720"/>
        <w:rPr>
          <w:rFonts w:ascii="Garamond" w:hAnsi="Garamond"/>
        </w:rPr>
      </w:pPr>
      <w:r>
        <w:rPr>
          <w:rFonts w:ascii="Garamond" w:hAnsi="Garamond"/>
        </w:rPr>
        <w:t xml:space="preserve">The World Bank (World Bank, 2020). Lessons from Chile’s Experience with E-Mobility: The Integration of E-Buses in Santiago. Available online at: </w:t>
      </w:r>
      <w:hyperlink r:id="rId122" w:history="1">
        <w:r w:rsidR="003541B9" w:rsidRPr="00857ECB">
          <w:rPr>
            <w:rStyle w:val="Hyperlink"/>
            <w:rFonts w:ascii="Garamond" w:hAnsi="Garamond"/>
          </w:rPr>
          <w:t>http://documents1.worldbank.org/curated/en/656661600060762104/pdf/Lessons-from-Chile-s-Experience-with-E-mobility-The-Integration-of-E-Buses-in-Santiago.pdf</w:t>
        </w:r>
      </w:hyperlink>
      <w:r w:rsidR="003541B9">
        <w:rPr>
          <w:rFonts w:ascii="Garamond" w:hAnsi="Garamond"/>
        </w:rPr>
        <w:t xml:space="preserve"> </w:t>
      </w:r>
    </w:p>
    <w:p w14:paraId="64141735" w14:textId="267908AA" w:rsidR="00BB4112" w:rsidRDefault="00BB4112" w:rsidP="00EE3988">
      <w:pPr>
        <w:ind w:hanging="720"/>
        <w:rPr>
          <w:rFonts w:ascii="Garamond" w:hAnsi="Garamond"/>
        </w:rPr>
      </w:pPr>
      <w:r>
        <w:rPr>
          <w:rFonts w:ascii="Garamond" w:hAnsi="Garamond"/>
        </w:rPr>
        <w:t xml:space="preserve">Transport &amp; Environment (T&amp;E, 2020). Comparing hydrogen and battery electric trucks. Available online at: </w:t>
      </w:r>
      <w:hyperlink r:id="rId123" w:history="1">
        <w:r w:rsidRPr="00857ECB">
          <w:rPr>
            <w:rStyle w:val="Hyperlink"/>
            <w:rFonts w:ascii="Garamond" w:hAnsi="Garamond"/>
          </w:rPr>
          <w:t>https://www.transportenvironment.org/publications/comparing-hydrogen-and-battery-electric-trucks</w:t>
        </w:r>
      </w:hyperlink>
      <w:r>
        <w:rPr>
          <w:rFonts w:ascii="Garamond" w:hAnsi="Garamond"/>
        </w:rPr>
        <w:t xml:space="preserve"> </w:t>
      </w:r>
    </w:p>
    <w:p w14:paraId="272516B0" w14:textId="1CB4EDD0" w:rsidR="00EE3988" w:rsidRPr="00EE3988" w:rsidRDefault="00EE3988" w:rsidP="00EE3988">
      <w:pPr>
        <w:ind w:hanging="720"/>
        <w:rPr>
          <w:rFonts w:ascii="Garamond" w:hAnsi="Garamond"/>
        </w:rPr>
      </w:pPr>
      <w:r w:rsidRPr="00EE3988">
        <w:rPr>
          <w:rFonts w:ascii="Garamond" w:hAnsi="Garamond"/>
        </w:rPr>
        <w:t xml:space="preserve">Transport for London (TFL, 2020). ULEZ: Where and when. Available online at </w:t>
      </w:r>
      <w:hyperlink r:id="rId124" w:history="1">
        <w:r w:rsidRPr="00EE3988">
          <w:rPr>
            <w:rFonts w:ascii="Garamond" w:hAnsi="Garamond"/>
            <w:color w:val="0000FF"/>
            <w:u w:val="single"/>
          </w:rPr>
          <w:t>https://tfl.gov.uk/modes/driving/ultra-low-emission-zone/ulez-where-and-when</w:t>
        </w:r>
      </w:hyperlink>
    </w:p>
    <w:p w14:paraId="602100A8" w14:textId="440E8389" w:rsidR="00E95974" w:rsidRDefault="00E95974" w:rsidP="00EE3988">
      <w:pPr>
        <w:ind w:hanging="720"/>
        <w:rPr>
          <w:rFonts w:ascii="Garamond" w:hAnsi="Garamond"/>
        </w:rPr>
      </w:pPr>
      <w:r>
        <w:rPr>
          <w:rFonts w:ascii="Garamond" w:hAnsi="Garamond"/>
        </w:rPr>
        <w:t>Trucks</w:t>
      </w:r>
      <w:r w:rsidR="003050E6">
        <w:rPr>
          <w:rFonts w:ascii="Garamond" w:hAnsi="Garamond"/>
        </w:rPr>
        <w:t xml:space="preserve">.com (Trucks, 2019). Toyota Unveils Hydrogen Utility Truck for Port of Los Angeles. Available online at: </w:t>
      </w:r>
      <w:hyperlink r:id="rId125" w:history="1">
        <w:r w:rsidR="00823203" w:rsidRPr="00857ECB">
          <w:rPr>
            <w:rStyle w:val="Hyperlink"/>
            <w:rFonts w:ascii="Garamond" w:hAnsi="Garamond"/>
          </w:rPr>
          <w:t>https://www.trucks.com/2019/11/07/toyota-unveils-hydrogen-utility-truck/</w:t>
        </w:r>
      </w:hyperlink>
      <w:r w:rsidR="00823203">
        <w:rPr>
          <w:rFonts w:ascii="Garamond" w:hAnsi="Garamond"/>
        </w:rPr>
        <w:t xml:space="preserve"> </w:t>
      </w:r>
    </w:p>
    <w:p w14:paraId="54E4372D" w14:textId="78A15403" w:rsidR="00EE3988" w:rsidRPr="00EE3988" w:rsidRDefault="00EE3988" w:rsidP="00EE3988">
      <w:pPr>
        <w:ind w:hanging="720"/>
        <w:rPr>
          <w:rFonts w:ascii="Garamond" w:hAnsi="Garamond" w:cs="Calibri"/>
          <w:color w:val="000000"/>
        </w:rPr>
      </w:pPr>
      <w:r w:rsidRPr="00EE3988">
        <w:rPr>
          <w:rFonts w:ascii="Garamond" w:hAnsi="Garamond"/>
        </w:rPr>
        <w:t xml:space="preserve">U.S. Environmental Protection Agency (EPA, 2005). Emission Reduction Incentives for Off-Road Diesel Equipment Used in the Port and Construction Sectors. Available online at </w:t>
      </w:r>
      <w:hyperlink r:id="rId126" w:history="1">
        <w:r w:rsidRPr="00EE3988">
          <w:rPr>
            <w:rFonts w:ascii="Garamond" w:hAnsi="Garamond"/>
            <w:color w:val="0000FF"/>
            <w:u w:val="single"/>
          </w:rPr>
          <w:t>https://archive.epa.gov/sectors/web/pdf/emission_20050519.pdf</w:t>
        </w:r>
      </w:hyperlink>
    </w:p>
    <w:p w14:paraId="5225A000" w14:textId="77777777" w:rsidR="00EE3988" w:rsidRPr="00EE3988" w:rsidRDefault="00EE3988" w:rsidP="00EE3988">
      <w:pPr>
        <w:ind w:hanging="720"/>
        <w:rPr>
          <w:rFonts w:ascii="Garamond" w:hAnsi="Garamond"/>
        </w:rPr>
      </w:pPr>
      <w:r w:rsidRPr="00EE3988">
        <w:rPr>
          <w:rFonts w:ascii="Garamond" w:hAnsi="Garamond"/>
        </w:rPr>
        <w:t xml:space="preserve">UPS (UPS, 2018). Cutting Edge Deployment of Advanced Technology Vehicle &amp; Charging Signals Shift Away from Reliance on Combustion Engine. Available online at </w:t>
      </w:r>
      <w:hyperlink r:id="rId127" w:history="1">
        <w:r w:rsidRPr="00EE3988">
          <w:rPr>
            <w:rFonts w:ascii="Garamond" w:hAnsi="Garamond"/>
            <w:color w:val="0000FF"/>
            <w:u w:val="single"/>
          </w:rPr>
          <w:t>https://pressroom.ups.com/pressroom/ContentDetailsViewer.page?ConceptType=PressReleases&amp;id=1521473412769-768</w:t>
        </w:r>
      </w:hyperlink>
    </w:p>
    <w:p w14:paraId="3A3C2792" w14:textId="66186AD9" w:rsidR="0025709B" w:rsidRDefault="00EE3988" w:rsidP="0025709B">
      <w:pPr>
        <w:ind w:hanging="720"/>
        <w:rPr>
          <w:rFonts w:ascii="Garamond" w:hAnsi="Garamond"/>
        </w:rPr>
      </w:pPr>
      <w:r w:rsidRPr="00EE3988">
        <w:rPr>
          <w:rFonts w:ascii="Garamond" w:hAnsi="Garamond"/>
        </w:rPr>
        <w:t xml:space="preserve">UPS (UPS, 2020). UPS Invests </w:t>
      </w:r>
      <w:proofErr w:type="gramStart"/>
      <w:r w:rsidRPr="00EE3988">
        <w:rPr>
          <w:rFonts w:ascii="Garamond" w:hAnsi="Garamond"/>
        </w:rPr>
        <w:t>In</w:t>
      </w:r>
      <w:proofErr w:type="gramEnd"/>
      <w:r w:rsidRPr="00EE3988">
        <w:rPr>
          <w:rFonts w:ascii="Garamond" w:hAnsi="Garamond"/>
        </w:rPr>
        <w:t xml:space="preserve"> Arrival, Accelerates Fleet Electrification With Order Of 10,000 Electric Delivery Vehicles. Available online at </w:t>
      </w:r>
      <w:hyperlink r:id="rId128" w:history="1">
        <w:r w:rsidRPr="00EE3988">
          <w:rPr>
            <w:rFonts w:ascii="Garamond" w:hAnsi="Garamond"/>
            <w:color w:val="0000FF"/>
            <w:u w:val="single"/>
          </w:rPr>
          <w:t>https://pressroom.ups.com/pressroom/ContentDetailsViewer.page?ConceptType=PressReleases&amp;id=1580304360144-453</w:t>
        </w:r>
      </w:hyperlink>
      <w:bookmarkEnd w:id="45"/>
      <w:bookmarkEnd w:id="46"/>
      <w:bookmarkEnd w:id="47"/>
      <w:bookmarkEnd w:id="48"/>
      <w:bookmarkEnd w:id="49"/>
      <w:bookmarkEnd w:id="50"/>
      <w:bookmarkEnd w:id="51"/>
      <w:bookmarkEnd w:id="52"/>
      <w:bookmarkEnd w:id="53"/>
      <w:bookmarkEnd w:id="54"/>
    </w:p>
    <w:p w14:paraId="4178D618" w14:textId="51B8D124" w:rsidR="00EE3988" w:rsidRDefault="00EE3988" w:rsidP="00840299">
      <w:pPr>
        <w:ind w:hanging="720"/>
        <w:rPr>
          <w:rFonts w:ascii="Garamond" w:hAnsi="Garamond"/>
          <w:color w:val="0000FF"/>
          <w:u w:val="single"/>
        </w:rPr>
      </w:pPr>
      <w:r w:rsidRPr="00EE3988">
        <w:rPr>
          <w:rFonts w:ascii="Garamond" w:hAnsi="Garamond"/>
        </w:rPr>
        <w:t xml:space="preserve">Urban Access Regulations (Urban Access Regulations, 2020). Urban access regulations in Europe. Available online at  </w:t>
      </w:r>
      <w:hyperlink r:id="rId129" w:history="1">
        <w:r w:rsidRPr="00EE3988">
          <w:rPr>
            <w:rFonts w:ascii="Garamond" w:hAnsi="Garamond"/>
            <w:color w:val="0000FF"/>
            <w:u w:val="single"/>
          </w:rPr>
          <w:t>https://urbanaccessregulations.eu/countries-mainmenu-147/norway-mainmenu-197/oslo</w:t>
        </w:r>
      </w:hyperlink>
      <w:bookmarkEnd w:id="55"/>
    </w:p>
    <w:p w14:paraId="54B22770" w14:textId="04DF7A00" w:rsidR="006F1348" w:rsidRPr="006F1348" w:rsidRDefault="006F1348" w:rsidP="00840299">
      <w:pPr>
        <w:ind w:hanging="720"/>
        <w:rPr>
          <w:rFonts w:ascii="Garamond" w:hAnsi="Garamond"/>
        </w:rPr>
      </w:pPr>
      <w:r>
        <w:rPr>
          <w:rFonts w:ascii="Garamond" w:hAnsi="Garamond"/>
        </w:rPr>
        <w:t>Washington Post (</w:t>
      </w:r>
      <w:r w:rsidR="00512CB8">
        <w:rPr>
          <w:rFonts w:ascii="Garamond" w:hAnsi="Garamond"/>
        </w:rPr>
        <w:t xml:space="preserve">Washington Post, 2019). </w:t>
      </w:r>
      <w:r w:rsidR="00512CB8" w:rsidRPr="00512CB8">
        <w:rPr>
          <w:rFonts w:ascii="Garamond" w:hAnsi="Garamond"/>
        </w:rPr>
        <w:t>Major automakers strike climate deal with California, rebuffing Trump on proposed mileage freeze</w:t>
      </w:r>
      <w:r w:rsidR="00512CB8">
        <w:rPr>
          <w:rFonts w:ascii="Garamond" w:hAnsi="Garamond"/>
        </w:rPr>
        <w:t xml:space="preserve">. Available online at: </w:t>
      </w:r>
      <w:hyperlink r:id="rId130" w:history="1">
        <w:r w:rsidR="004A1DA8" w:rsidRPr="00857ECB">
          <w:rPr>
            <w:rStyle w:val="Hyperlink"/>
            <w:rFonts w:ascii="Garamond" w:hAnsi="Garamond"/>
          </w:rPr>
          <w:t>https://www.washingtonpost.com/climate-environment/2019/07/25/major-automakers-strike-climate-deal-with-california-rebuffing-trump-proposed-mileage-freeze/</w:t>
        </w:r>
      </w:hyperlink>
      <w:r w:rsidR="004A1DA8">
        <w:rPr>
          <w:rFonts w:ascii="Garamond" w:hAnsi="Garamond"/>
        </w:rPr>
        <w:t xml:space="preserve"> </w:t>
      </w:r>
    </w:p>
    <w:sectPr w:rsidR="006F1348" w:rsidRPr="006F1348" w:rsidSect="00CE3C2B">
      <w:footerReference w:type="default" r:id="rId131"/>
      <w:endnotePr>
        <w:numFmt w:val="decimal"/>
      </w:endnotePr>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5851E" w14:textId="77777777" w:rsidR="009311C2" w:rsidRDefault="009311C2">
      <w:r>
        <w:separator/>
      </w:r>
    </w:p>
  </w:endnote>
  <w:endnote w:type="continuationSeparator" w:id="0">
    <w:p w14:paraId="7CD0D22F" w14:textId="77777777" w:rsidR="009311C2" w:rsidRDefault="009311C2">
      <w:r>
        <w:continuationSeparator/>
      </w:r>
    </w:p>
  </w:endnote>
  <w:endnote w:type="continuationNotice" w:id="1">
    <w:p w14:paraId="43178117" w14:textId="77777777" w:rsidR="009311C2" w:rsidRDefault="009311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charset w:val="00"/>
    <w:family w:val="swiss"/>
    <w:pitch w:val="variable"/>
    <w:sig w:usb0="00000287" w:usb1="00000000" w:usb2="00000000" w:usb3="00000000" w:csb0="0000009F" w:csb1="00000000"/>
  </w:font>
  <w:font w:name="Dubai Light">
    <w:charset w:val="B2"/>
    <w:family w:val="swiss"/>
    <w:pitch w:val="variable"/>
    <w:sig w:usb0="80002067" w:usb1="80000000" w:usb2="00000008" w:usb3="00000000" w:csb0="00000041" w:csb1="00000000"/>
  </w:font>
  <w:font w:name="Franklin Gothic Book">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Garamond">
    <w:altName w:val="Garamond"/>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3B451" w14:textId="2F118C76" w:rsidR="007C2A62" w:rsidRDefault="007C2A62" w:rsidP="00CE3C2B">
    <w:pPr>
      <w:tabs>
        <w:tab w:val="left" w:pos="4464"/>
        <w:tab w:val="center" w:pos="4680"/>
      </w:tabs>
    </w:pPr>
    <w:r>
      <w:tab/>
    </w:r>
    <w:r>
      <w:tab/>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D59210" w14:textId="77777777" w:rsidR="009311C2" w:rsidRDefault="009311C2">
      <w:r>
        <w:separator/>
      </w:r>
    </w:p>
  </w:footnote>
  <w:footnote w:type="continuationSeparator" w:id="0">
    <w:p w14:paraId="2FC7D7DB" w14:textId="77777777" w:rsidR="009311C2" w:rsidRDefault="009311C2">
      <w:r>
        <w:continuationSeparator/>
      </w:r>
    </w:p>
  </w:footnote>
  <w:footnote w:type="continuationNotice" w:id="1">
    <w:p w14:paraId="393F22A6" w14:textId="77777777" w:rsidR="009311C2" w:rsidRDefault="009311C2"/>
  </w:footnote>
  <w:footnote w:id="2">
    <w:p w14:paraId="1B44530E" w14:textId="75A74C7A" w:rsidR="007C2A62" w:rsidRDefault="007C2A62">
      <w:pPr>
        <w:pStyle w:val="FootnoteText"/>
      </w:pPr>
      <w:r>
        <w:rPr>
          <w:rStyle w:val="FootnoteReference"/>
        </w:rPr>
        <w:footnoteRef/>
      </w:r>
      <w:r>
        <w:t xml:space="preserve"> The definition of “zero-emission” includes vehicles with </w:t>
      </w:r>
      <w:r w:rsidRPr="0074415D">
        <w:t xml:space="preserve">drivetrains that cannot produce </w:t>
      </w:r>
      <w:r>
        <w:t>greenhouse gases</w:t>
      </w:r>
      <w:r w:rsidRPr="0074415D">
        <w:t xml:space="preserve"> or air pollutants</w:t>
      </w:r>
      <w:r>
        <w:t>, indicating vehicles powered solely by electricity or hydrogen.</w:t>
      </w:r>
    </w:p>
  </w:footnote>
  <w:footnote w:id="3">
    <w:p w14:paraId="732A3A6D" w14:textId="5BD795FB" w:rsidR="007C2A62" w:rsidRDefault="007C2A62">
      <w:pPr>
        <w:pStyle w:val="FootnoteText"/>
      </w:pPr>
      <w:r>
        <w:rPr>
          <w:rStyle w:val="FootnoteReference"/>
        </w:rPr>
        <w:footnoteRef/>
      </w:r>
      <w:r>
        <w:t xml:space="preserve"> The definition of a “commercial vehicle” varies by region based on weight and cargo or passenger capacity. For a comparison of international commercial vehicle standards, see the Appendix.</w:t>
      </w:r>
    </w:p>
  </w:footnote>
  <w:footnote w:id="4">
    <w:p w14:paraId="0F8E2F57" w14:textId="3463897D" w:rsidR="007C2A62" w:rsidRDefault="007C2A62">
      <w:pPr>
        <w:pStyle w:val="FootnoteText"/>
      </w:pPr>
      <w:r>
        <w:rPr>
          <w:rStyle w:val="FootnoteReference"/>
        </w:rPr>
        <w:footnoteRef/>
      </w:r>
      <w:r>
        <w:t xml:space="preserve"> </w:t>
      </w:r>
      <w:r w:rsidRPr="00600B3F">
        <w:t xml:space="preserve">See text box </w:t>
      </w:r>
      <w:r w:rsidR="00991384">
        <w:t xml:space="preserve">in Chapter 1 </w:t>
      </w:r>
      <w:r w:rsidRPr="00600B3F">
        <w:t>for distinctions on near-zero emissions vehicles in this brief.</w:t>
      </w:r>
    </w:p>
  </w:footnote>
  <w:footnote w:id="5">
    <w:p w14:paraId="4648FF2D" w14:textId="42593279" w:rsidR="007C2A62" w:rsidRDefault="007C2A62">
      <w:pPr>
        <w:pStyle w:val="FootnoteText"/>
      </w:pPr>
      <w:r>
        <w:rPr>
          <w:rStyle w:val="FootnoteReference"/>
        </w:rPr>
        <w:footnoteRef/>
      </w:r>
      <w:r>
        <w:t xml:space="preserve"> </w:t>
      </w:r>
      <w:r w:rsidRPr="00B236DD">
        <w:t>The commercial definition of “beachhead” is “a secure initial position that has been gained and can be used for further advancement; foothold.” The term derives from military usage and connotes beginning a new advance by securing a small strip of influence to expand opportunities in less accessible regions. The associated World War II reference is particularly germane to the beachhead model because the Allied advance parlayed their initial landing points into accessing an entire continent.</w:t>
      </w:r>
    </w:p>
  </w:footnote>
  <w:footnote w:id="6">
    <w:p w14:paraId="4D2285FB" w14:textId="508EA746" w:rsidR="007C2A62" w:rsidRDefault="007C2A62">
      <w:pPr>
        <w:pStyle w:val="FootnoteText"/>
      </w:pPr>
      <w:r>
        <w:rPr>
          <w:rStyle w:val="FootnoteReference"/>
        </w:rPr>
        <w:footnoteRef/>
      </w:r>
      <w:r>
        <w:t xml:space="preserve"> </w:t>
      </w:r>
      <w:r w:rsidRPr="00B236DD">
        <w:t>Calculation derived from U.S. Department of Energy annual mileage divided by number of days in a year</w:t>
      </w:r>
    </w:p>
  </w:footnote>
  <w:footnote w:id="7">
    <w:p w14:paraId="153AC072" w14:textId="66F6F0CF" w:rsidR="007C2A62" w:rsidRDefault="007C2A62">
      <w:pPr>
        <w:pStyle w:val="FootnoteText"/>
      </w:pPr>
      <w:r>
        <w:rPr>
          <w:rStyle w:val="FootnoteReference"/>
        </w:rPr>
        <w:footnoteRef/>
      </w:r>
      <w:r>
        <w:t xml:space="preserve"> </w:t>
      </w:r>
      <w:r w:rsidRPr="00B236DD">
        <w:t>Vehicle classes are designated by the U.S. Federal Highway Administration</w:t>
      </w:r>
    </w:p>
  </w:footnote>
  <w:footnote w:id="8">
    <w:p w14:paraId="03B65035" w14:textId="042FBCFA" w:rsidR="007C2A62" w:rsidRDefault="007C2A62">
      <w:pPr>
        <w:pStyle w:val="FootnoteText"/>
      </w:pPr>
      <w:r>
        <w:rPr>
          <w:rStyle w:val="FootnoteReference"/>
        </w:rPr>
        <w:footnoteRef/>
      </w:r>
      <w:r>
        <w:t xml:space="preserve"> </w:t>
      </w:r>
      <w:r w:rsidRPr="00B236DD">
        <w:t>Due to variables (vehicle length, axle configuration) involved in vehicle classification outside of North America, only U.S. classifications by weight are provided in this table. See Appendix for additional information on vehicle classification systems in China, the European Union, Japan, and India.</w:t>
      </w:r>
    </w:p>
  </w:footnote>
  <w:footnote w:id="9">
    <w:p w14:paraId="387E02AC" w14:textId="33ACB322" w:rsidR="007C2A62" w:rsidRDefault="007C2A62">
      <w:pPr>
        <w:pStyle w:val="FootnoteText"/>
      </w:pPr>
      <w:r>
        <w:rPr>
          <w:rStyle w:val="FootnoteReference"/>
        </w:rPr>
        <w:footnoteRef/>
      </w:r>
      <w:r>
        <w:t xml:space="preserve"> </w:t>
      </w:r>
      <w:r w:rsidRPr="00B236DD">
        <w:t>GVWR: Gross Vehicle Weight Rating is the maximum operating weight of a vehicle as specified by the vehicle manufacturer</w:t>
      </w:r>
    </w:p>
  </w:footnote>
  <w:footnote w:id="10">
    <w:p w14:paraId="3A449E79" w14:textId="237AA792" w:rsidR="007C2A62" w:rsidRDefault="007C2A62" w:rsidP="00B236DD">
      <w:pPr>
        <w:pStyle w:val="FootnoteText"/>
      </w:pPr>
      <w:r>
        <w:rPr>
          <w:rStyle w:val="FootnoteReference"/>
        </w:rPr>
        <w:footnoteRef/>
      </w:r>
      <w:r>
        <w:t xml:space="preserve"> Range is derived from the Global Drive to Zero program’s Zero Emission Transportation Inventory (ZETI), a tool that catalogues worldwide commercially available offerings of zero-emission medium- and heavy-duty vehicles. The tool aims to provide fleets and governments with comprehensive information including regions where zero-emission brands are available for purchase, and the timeline over which additional models are expected to become available. School bus daily value is derived from the average number of miles driven annually divided by 180, the minimum number of school days in a U.S. school year. The number shown here may be higher than a typical route if the school buses are regularly used when not transporting pupils.</w:t>
      </w:r>
    </w:p>
  </w:footnote>
  <w:footnote w:id="11">
    <w:p w14:paraId="1B996D1C" w14:textId="169DE421" w:rsidR="007C2A62" w:rsidRDefault="007C2A62">
      <w:pPr>
        <w:pStyle w:val="FootnoteText"/>
      </w:pPr>
      <w:r>
        <w:rPr>
          <w:rStyle w:val="FootnoteReference"/>
        </w:rPr>
        <w:footnoteRef/>
      </w:r>
      <w:r>
        <w:t xml:space="preserve"> </w:t>
      </w:r>
      <w:r w:rsidRPr="00B236DD">
        <w:t>School bus daily value is derived from the average number of miles driven annually divided by 180, the minimum number of school days in a U.S. school year. The number shown here may be higher than a typical route if the school buses are regularly used when not transporting pupils.</w:t>
      </w:r>
    </w:p>
  </w:footnote>
  <w:footnote w:id="12">
    <w:p w14:paraId="13A9DCA7" w14:textId="0FA5BDF1" w:rsidR="007C2A62" w:rsidRDefault="007C2A62">
      <w:pPr>
        <w:pStyle w:val="FootnoteText"/>
      </w:pPr>
      <w:r>
        <w:rPr>
          <w:rStyle w:val="FootnoteReference"/>
        </w:rPr>
        <w:footnoteRef/>
      </w:r>
      <w:r>
        <w:t xml:space="preserve"> School bus types are categorized by GVWR and by platform design, such as by California code </w:t>
      </w:r>
      <w:r w:rsidRPr="003D0492">
        <w:t>MS 169.011 sub. 71</w:t>
      </w:r>
      <w:r>
        <w:t>.</w:t>
      </w:r>
    </w:p>
  </w:footnote>
  <w:footnote w:id="13">
    <w:p w14:paraId="49B8AAF3" w14:textId="28BB43C8" w:rsidR="007C2A62" w:rsidRDefault="007C2A62">
      <w:pPr>
        <w:pStyle w:val="FootnoteText"/>
      </w:pPr>
      <w:r>
        <w:rPr>
          <w:rStyle w:val="FootnoteReference"/>
        </w:rPr>
        <w:footnoteRef/>
      </w:r>
      <w:r>
        <w:t xml:space="preserve"> The Drive to Zero (ZETI) tool is regularly updated tool that offers a thorough, yet not completely comprehensive, glimpse of vehicles and markets. The North American and European model inventories have been populated more rapidly than other regions, but additions to other regional markets (most notably in China, Japan, India, and South America) are forthcoming. ZETI data is meant to support fleets and policymakers and should not be construed as representative of the entire vehicle market.</w:t>
      </w:r>
    </w:p>
  </w:footnote>
  <w:footnote w:id="14">
    <w:p w14:paraId="0128DB30" w14:textId="71CB545C" w:rsidR="007C2A62" w:rsidRDefault="007C2A62">
      <w:pPr>
        <w:pStyle w:val="FootnoteText"/>
      </w:pPr>
      <w:r>
        <w:rPr>
          <w:rStyle w:val="FootnoteReference"/>
        </w:rPr>
        <w:footnoteRef/>
      </w:r>
      <w:r>
        <w:t xml:space="preserve"> </w:t>
      </w:r>
      <w:r w:rsidRPr="00B236DD">
        <w:t>From CALSTART collaborative research at transit agencies in Minnesota and Utah</w:t>
      </w:r>
    </w:p>
  </w:footnote>
  <w:footnote w:id="15">
    <w:p w14:paraId="4B467D8A" w14:textId="07673733" w:rsidR="007C2A62" w:rsidRDefault="007C2A62">
      <w:pPr>
        <w:pStyle w:val="FootnoteText"/>
      </w:pPr>
      <w:r>
        <w:rPr>
          <w:rStyle w:val="FootnoteReference"/>
        </w:rPr>
        <w:footnoteRef/>
      </w:r>
      <w:r>
        <w:t xml:space="preserve"> This category is differentiated from “Zero-Emission Areas” because congestion pricing programs or low-emission zones permit varying degrees of tailpipe pollution, whereas zero-emission areas explicitly prohibit tailpipe emissions or otherwise define zero-emission vehicles as the only qualifying technology allowed to enter an area.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05C29"/>
    <w:multiLevelType w:val="hybridMultilevel"/>
    <w:tmpl w:val="BB04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B58A3"/>
    <w:multiLevelType w:val="hybridMultilevel"/>
    <w:tmpl w:val="5E16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D60D1"/>
    <w:multiLevelType w:val="multilevel"/>
    <w:tmpl w:val="ECCE5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FA6BAF"/>
    <w:multiLevelType w:val="hybridMultilevel"/>
    <w:tmpl w:val="E74CC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A9389D"/>
    <w:multiLevelType w:val="hybridMultilevel"/>
    <w:tmpl w:val="3E84C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6A032C"/>
    <w:multiLevelType w:val="hybridMultilevel"/>
    <w:tmpl w:val="9DE28272"/>
    <w:lvl w:ilvl="0" w:tplc="352A0276">
      <w:start w:val="1"/>
      <w:numFmt w:val="bullet"/>
      <w:lvlText w:val=""/>
      <w:lvlJc w:val="left"/>
      <w:pPr>
        <w:tabs>
          <w:tab w:val="num" w:pos="720"/>
        </w:tabs>
        <w:ind w:left="720" w:hanging="360"/>
      </w:pPr>
      <w:rPr>
        <w:rFonts w:ascii="Symbol" w:hAnsi="Symbol" w:hint="default"/>
        <w:sz w:val="20"/>
      </w:rPr>
    </w:lvl>
    <w:lvl w:ilvl="1" w:tplc="E05E3A2E">
      <w:start w:val="1"/>
      <w:numFmt w:val="bullet"/>
      <w:lvlText w:val=""/>
      <w:lvlJc w:val="left"/>
      <w:pPr>
        <w:tabs>
          <w:tab w:val="num" w:pos="1440"/>
        </w:tabs>
        <w:ind w:left="1440" w:hanging="360"/>
      </w:pPr>
      <w:rPr>
        <w:rFonts w:ascii="Symbol" w:hAnsi="Symbol" w:hint="default"/>
        <w:sz w:val="20"/>
      </w:rPr>
    </w:lvl>
    <w:lvl w:ilvl="2" w:tplc="3F18CBE6">
      <w:start w:val="1"/>
      <w:numFmt w:val="bullet"/>
      <w:lvlText w:val=""/>
      <w:lvlJc w:val="left"/>
      <w:pPr>
        <w:tabs>
          <w:tab w:val="num" w:pos="2160"/>
        </w:tabs>
        <w:ind w:left="2160" w:hanging="360"/>
      </w:pPr>
      <w:rPr>
        <w:rFonts w:ascii="Symbol" w:hAnsi="Symbol" w:hint="default"/>
        <w:sz w:val="20"/>
      </w:rPr>
    </w:lvl>
    <w:lvl w:ilvl="3" w:tplc="EED878CA">
      <w:start w:val="1"/>
      <w:numFmt w:val="bullet"/>
      <w:lvlText w:val=""/>
      <w:lvlJc w:val="left"/>
      <w:pPr>
        <w:tabs>
          <w:tab w:val="num" w:pos="2880"/>
        </w:tabs>
        <w:ind w:left="2880" w:hanging="360"/>
      </w:pPr>
      <w:rPr>
        <w:rFonts w:ascii="Symbol" w:hAnsi="Symbol" w:hint="default"/>
        <w:sz w:val="20"/>
      </w:rPr>
    </w:lvl>
    <w:lvl w:ilvl="4" w:tplc="7EB0945E">
      <w:start w:val="1"/>
      <w:numFmt w:val="bullet"/>
      <w:lvlText w:val=""/>
      <w:lvlJc w:val="left"/>
      <w:pPr>
        <w:tabs>
          <w:tab w:val="num" w:pos="3600"/>
        </w:tabs>
        <w:ind w:left="3600" w:hanging="360"/>
      </w:pPr>
      <w:rPr>
        <w:rFonts w:ascii="Symbol" w:hAnsi="Symbol" w:hint="default"/>
        <w:sz w:val="20"/>
      </w:rPr>
    </w:lvl>
    <w:lvl w:ilvl="5" w:tplc="6F38213E">
      <w:start w:val="1"/>
      <w:numFmt w:val="bullet"/>
      <w:lvlText w:val=""/>
      <w:lvlJc w:val="left"/>
      <w:pPr>
        <w:tabs>
          <w:tab w:val="num" w:pos="4320"/>
        </w:tabs>
        <w:ind w:left="4320" w:hanging="360"/>
      </w:pPr>
      <w:rPr>
        <w:rFonts w:ascii="Symbol" w:hAnsi="Symbol" w:hint="default"/>
        <w:sz w:val="20"/>
      </w:rPr>
    </w:lvl>
    <w:lvl w:ilvl="6" w:tplc="CA3A8F6A">
      <w:start w:val="1"/>
      <w:numFmt w:val="bullet"/>
      <w:lvlText w:val=""/>
      <w:lvlJc w:val="left"/>
      <w:pPr>
        <w:tabs>
          <w:tab w:val="num" w:pos="5040"/>
        </w:tabs>
        <w:ind w:left="5040" w:hanging="360"/>
      </w:pPr>
      <w:rPr>
        <w:rFonts w:ascii="Symbol" w:hAnsi="Symbol" w:hint="default"/>
        <w:sz w:val="20"/>
      </w:rPr>
    </w:lvl>
    <w:lvl w:ilvl="7" w:tplc="63B8261E">
      <w:start w:val="1"/>
      <w:numFmt w:val="bullet"/>
      <w:lvlText w:val=""/>
      <w:lvlJc w:val="left"/>
      <w:pPr>
        <w:tabs>
          <w:tab w:val="num" w:pos="5760"/>
        </w:tabs>
        <w:ind w:left="5760" w:hanging="360"/>
      </w:pPr>
      <w:rPr>
        <w:rFonts w:ascii="Symbol" w:hAnsi="Symbol" w:hint="default"/>
        <w:sz w:val="20"/>
      </w:rPr>
    </w:lvl>
    <w:lvl w:ilvl="8" w:tplc="BF8ABED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185783"/>
    <w:multiLevelType w:val="hybridMultilevel"/>
    <w:tmpl w:val="1A30F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4A57CA"/>
    <w:multiLevelType w:val="hybridMultilevel"/>
    <w:tmpl w:val="52088612"/>
    <w:lvl w:ilvl="0" w:tplc="ED5C658E">
      <w:start w:val="1"/>
      <w:numFmt w:val="bullet"/>
      <w:lvlText w:val=""/>
      <w:lvlJc w:val="left"/>
      <w:pPr>
        <w:tabs>
          <w:tab w:val="num" w:pos="720"/>
        </w:tabs>
        <w:ind w:left="720" w:hanging="360"/>
      </w:pPr>
      <w:rPr>
        <w:rFonts w:ascii="Symbol" w:hAnsi="Symbol" w:hint="default"/>
        <w:sz w:val="20"/>
      </w:rPr>
    </w:lvl>
    <w:lvl w:ilvl="1" w:tplc="60DA24BA">
      <w:start w:val="1"/>
      <w:numFmt w:val="bullet"/>
      <w:lvlText w:val=""/>
      <w:lvlJc w:val="left"/>
      <w:pPr>
        <w:tabs>
          <w:tab w:val="num" w:pos="1440"/>
        </w:tabs>
        <w:ind w:left="1440" w:hanging="360"/>
      </w:pPr>
      <w:rPr>
        <w:rFonts w:ascii="Symbol" w:hAnsi="Symbol" w:hint="default"/>
        <w:sz w:val="20"/>
      </w:rPr>
    </w:lvl>
    <w:lvl w:ilvl="2" w:tplc="63FC4B74">
      <w:start w:val="1"/>
      <w:numFmt w:val="bullet"/>
      <w:lvlText w:val=""/>
      <w:lvlJc w:val="left"/>
      <w:pPr>
        <w:tabs>
          <w:tab w:val="num" w:pos="2160"/>
        </w:tabs>
        <w:ind w:left="2160" w:hanging="360"/>
      </w:pPr>
      <w:rPr>
        <w:rFonts w:ascii="Symbol" w:hAnsi="Symbol" w:hint="default"/>
        <w:sz w:val="20"/>
      </w:rPr>
    </w:lvl>
    <w:lvl w:ilvl="3" w:tplc="FCE817E8">
      <w:start w:val="1"/>
      <w:numFmt w:val="bullet"/>
      <w:lvlText w:val=""/>
      <w:lvlJc w:val="left"/>
      <w:pPr>
        <w:tabs>
          <w:tab w:val="num" w:pos="2880"/>
        </w:tabs>
        <w:ind w:left="2880" w:hanging="360"/>
      </w:pPr>
      <w:rPr>
        <w:rFonts w:ascii="Symbol" w:hAnsi="Symbol" w:hint="default"/>
        <w:sz w:val="20"/>
      </w:rPr>
    </w:lvl>
    <w:lvl w:ilvl="4" w:tplc="93F6D7BE">
      <w:start w:val="1"/>
      <w:numFmt w:val="bullet"/>
      <w:lvlText w:val=""/>
      <w:lvlJc w:val="left"/>
      <w:pPr>
        <w:tabs>
          <w:tab w:val="num" w:pos="3600"/>
        </w:tabs>
        <w:ind w:left="3600" w:hanging="360"/>
      </w:pPr>
      <w:rPr>
        <w:rFonts w:ascii="Symbol" w:hAnsi="Symbol" w:hint="default"/>
        <w:sz w:val="20"/>
      </w:rPr>
    </w:lvl>
    <w:lvl w:ilvl="5" w:tplc="2D404132">
      <w:start w:val="1"/>
      <w:numFmt w:val="bullet"/>
      <w:lvlText w:val=""/>
      <w:lvlJc w:val="left"/>
      <w:pPr>
        <w:tabs>
          <w:tab w:val="num" w:pos="4320"/>
        </w:tabs>
        <w:ind w:left="4320" w:hanging="360"/>
      </w:pPr>
      <w:rPr>
        <w:rFonts w:ascii="Symbol" w:hAnsi="Symbol" w:hint="default"/>
        <w:sz w:val="20"/>
      </w:rPr>
    </w:lvl>
    <w:lvl w:ilvl="6" w:tplc="6AA23A32">
      <w:start w:val="1"/>
      <w:numFmt w:val="bullet"/>
      <w:lvlText w:val=""/>
      <w:lvlJc w:val="left"/>
      <w:pPr>
        <w:tabs>
          <w:tab w:val="num" w:pos="5040"/>
        </w:tabs>
        <w:ind w:left="5040" w:hanging="360"/>
      </w:pPr>
      <w:rPr>
        <w:rFonts w:ascii="Symbol" w:hAnsi="Symbol" w:hint="default"/>
        <w:sz w:val="20"/>
      </w:rPr>
    </w:lvl>
    <w:lvl w:ilvl="7" w:tplc="07583822">
      <w:start w:val="1"/>
      <w:numFmt w:val="bullet"/>
      <w:lvlText w:val=""/>
      <w:lvlJc w:val="left"/>
      <w:pPr>
        <w:tabs>
          <w:tab w:val="num" w:pos="5760"/>
        </w:tabs>
        <w:ind w:left="5760" w:hanging="360"/>
      </w:pPr>
      <w:rPr>
        <w:rFonts w:ascii="Symbol" w:hAnsi="Symbol" w:hint="default"/>
        <w:sz w:val="20"/>
      </w:rPr>
    </w:lvl>
    <w:lvl w:ilvl="8" w:tplc="FAB23FF4">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0C3B0A"/>
    <w:multiLevelType w:val="hybridMultilevel"/>
    <w:tmpl w:val="413058C8"/>
    <w:lvl w:ilvl="0" w:tplc="5E50BF04">
      <w:start w:val="1"/>
      <w:numFmt w:val="bullet"/>
      <w:lvlText w:val=""/>
      <w:lvlJc w:val="left"/>
      <w:pPr>
        <w:tabs>
          <w:tab w:val="num" w:pos="720"/>
        </w:tabs>
        <w:ind w:left="720" w:hanging="360"/>
      </w:pPr>
      <w:rPr>
        <w:rFonts w:ascii="Symbol" w:hAnsi="Symbol" w:hint="default"/>
        <w:sz w:val="20"/>
      </w:rPr>
    </w:lvl>
    <w:lvl w:ilvl="1" w:tplc="74C63B86">
      <w:start w:val="1"/>
      <w:numFmt w:val="bullet"/>
      <w:lvlText w:val=""/>
      <w:lvlJc w:val="left"/>
      <w:pPr>
        <w:tabs>
          <w:tab w:val="num" w:pos="1440"/>
        </w:tabs>
        <w:ind w:left="1440" w:hanging="360"/>
      </w:pPr>
      <w:rPr>
        <w:rFonts w:ascii="Symbol" w:hAnsi="Symbol" w:hint="default"/>
        <w:sz w:val="20"/>
      </w:rPr>
    </w:lvl>
    <w:lvl w:ilvl="2" w:tplc="D668E63C">
      <w:start w:val="1"/>
      <w:numFmt w:val="bullet"/>
      <w:lvlText w:val=""/>
      <w:lvlJc w:val="left"/>
      <w:pPr>
        <w:tabs>
          <w:tab w:val="num" w:pos="2160"/>
        </w:tabs>
        <w:ind w:left="2160" w:hanging="360"/>
      </w:pPr>
      <w:rPr>
        <w:rFonts w:ascii="Symbol" w:hAnsi="Symbol" w:hint="default"/>
        <w:sz w:val="20"/>
      </w:rPr>
    </w:lvl>
    <w:lvl w:ilvl="3" w:tplc="474457EE">
      <w:start w:val="1"/>
      <w:numFmt w:val="bullet"/>
      <w:lvlText w:val=""/>
      <w:lvlJc w:val="left"/>
      <w:pPr>
        <w:tabs>
          <w:tab w:val="num" w:pos="2880"/>
        </w:tabs>
        <w:ind w:left="2880" w:hanging="360"/>
      </w:pPr>
      <w:rPr>
        <w:rFonts w:ascii="Symbol" w:hAnsi="Symbol" w:hint="default"/>
        <w:sz w:val="20"/>
      </w:rPr>
    </w:lvl>
    <w:lvl w:ilvl="4" w:tplc="DE7A737A">
      <w:start w:val="1"/>
      <w:numFmt w:val="bullet"/>
      <w:lvlText w:val=""/>
      <w:lvlJc w:val="left"/>
      <w:pPr>
        <w:tabs>
          <w:tab w:val="num" w:pos="3600"/>
        </w:tabs>
        <w:ind w:left="3600" w:hanging="360"/>
      </w:pPr>
      <w:rPr>
        <w:rFonts w:ascii="Symbol" w:hAnsi="Symbol" w:hint="default"/>
        <w:sz w:val="20"/>
      </w:rPr>
    </w:lvl>
    <w:lvl w:ilvl="5" w:tplc="9C5056FA">
      <w:start w:val="1"/>
      <w:numFmt w:val="bullet"/>
      <w:lvlText w:val=""/>
      <w:lvlJc w:val="left"/>
      <w:pPr>
        <w:tabs>
          <w:tab w:val="num" w:pos="4320"/>
        </w:tabs>
        <w:ind w:left="4320" w:hanging="360"/>
      </w:pPr>
      <w:rPr>
        <w:rFonts w:ascii="Symbol" w:hAnsi="Symbol" w:hint="default"/>
        <w:sz w:val="20"/>
      </w:rPr>
    </w:lvl>
    <w:lvl w:ilvl="6" w:tplc="42F6652A">
      <w:start w:val="1"/>
      <w:numFmt w:val="bullet"/>
      <w:lvlText w:val=""/>
      <w:lvlJc w:val="left"/>
      <w:pPr>
        <w:tabs>
          <w:tab w:val="num" w:pos="5040"/>
        </w:tabs>
        <w:ind w:left="5040" w:hanging="360"/>
      </w:pPr>
      <w:rPr>
        <w:rFonts w:ascii="Symbol" w:hAnsi="Symbol" w:hint="default"/>
        <w:sz w:val="20"/>
      </w:rPr>
    </w:lvl>
    <w:lvl w:ilvl="7" w:tplc="7750B260">
      <w:start w:val="1"/>
      <w:numFmt w:val="bullet"/>
      <w:lvlText w:val=""/>
      <w:lvlJc w:val="left"/>
      <w:pPr>
        <w:tabs>
          <w:tab w:val="num" w:pos="5760"/>
        </w:tabs>
        <w:ind w:left="5760" w:hanging="360"/>
      </w:pPr>
      <w:rPr>
        <w:rFonts w:ascii="Symbol" w:hAnsi="Symbol" w:hint="default"/>
        <w:sz w:val="20"/>
      </w:rPr>
    </w:lvl>
    <w:lvl w:ilvl="8" w:tplc="C4E8736A">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A508F6"/>
    <w:multiLevelType w:val="hybridMultilevel"/>
    <w:tmpl w:val="EEDE65F4"/>
    <w:lvl w:ilvl="0" w:tplc="F436553C">
      <w:start w:val="1"/>
      <w:numFmt w:val="bullet"/>
      <w:lvlText w:val="●"/>
      <w:lvlJc w:val="left"/>
      <w:pPr>
        <w:ind w:left="720" w:hanging="360"/>
      </w:pPr>
      <w:rPr>
        <w:u w:val="none"/>
      </w:rPr>
    </w:lvl>
    <w:lvl w:ilvl="1" w:tplc="662C2D22">
      <w:start w:val="1"/>
      <w:numFmt w:val="bullet"/>
      <w:lvlText w:val="○"/>
      <w:lvlJc w:val="left"/>
      <w:pPr>
        <w:ind w:left="1440" w:hanging="360"/>
      </w:pPr>
      <w:rPr>
        <w:u w:val="none"/>
      </w:rPr>
    </w:lvl>
    <w:lvl w:ilvl="2" w:tplc="E1C834A8">
      <w:start w:val="1"/>
      <w:numFmt w:val="bullet"/>
      <w:lvlText w:val="■"/>
      <w:lvlJc w:val="left"/>
      <w:pPr>
        <w:ind w:left="2160" w:hanging="360"/>
      </w:pPr>
      <w:rPr>
        <w:u w:val="none"/>
      </w:rPr>
    </w:lvl>
    <w:lvl w:ilvl="3" w:tplc="8F645376">
      <w:start w:val="1"/>
      <w:numFmt w:val="bullet"/>
      <w:lvlText w:val="●"/>
      <w:lvlJc w:val="left"/>
      <w:pPr>
        <w:ind w:left="2880" w:hanging="360"/>
      </w:pPr>
      <w:rPr>
        <w:u w:val="none"/>
      </w:rPr>
    </w:lvl>
    <w:lvl w:ilvl="4" w:tplc="4CEA401E">
      <w:start w:val="1"/>
      <w:numFmt w:val="bullet"/>
      <w:lvlText w:val="○"/>
      <w:lvlJc w:val="left"/>
      <w:pPr>
        <w:ind w:left="3600" w:hanging="360"/>
      </w:pPr>
      <w:rPr>
        <w:u w:val="none"/>
      </w:rPr>
    </w:lvl>
    <w:lvl w:ilvl="5" w:tplc="4732D89A">
      <w:start w:val="1"/>
      <w:numFmt w:val="bullet"/>
      <w:lvlText w:val="■"/>
      <w:lvlJc w:val="left"/>
      <w:pPr>
        <w:ind w:left="4320" w:hanging="360"/>
      </w:pPr>
      <w:rPr>
        <w:u w:val="none"/>
      </w:rPr>
    </w:lvl>
    <w:lvl w:ilvl="6" w:tplc="07965B96">
      <w:start w:val="1"/>
      <w:numFmt w:val="bullet"/>
      <w:lvlText w:val="●"/>
      <w:lvlJc w:val="left"/>
      <w:pPr>
        <w:ind w:left="5040" w:hanging="360"/>
      </w:pPr>
      <w:rPr>
        <w:u w:val="none"/>
      </w:rPr>
    </w:lvl>
    <w:lvl w:ilvl="7" w:tplc="10D89164">
      <w:start w:val="1"/>
      <w:numFmt w:val="bullet"/>
      <w:lvlText w:val="○"/>
      <w:lvlJc w:val="left"/>
      <w:pPr>
        <w:ind w:left="5760" w:hanging="360"/>
      </w:pPr>
      <w:rPr>
        <w:u w:val="none"/>
      </w:rPr>
    </w:lvl>
    <w:lvl w:ilvl="8" w:tplc="0FA0EF70">
      <w:start w:val="1"/>
      <w:numFmt w:val="bullet"/>
      <w:lvlText w:val="■"/>
      <w:lvlJc w:val="left"/>
      <w:pPr>
        <w:ind w:left="6480" w:hanging="360"/>
      </w:pPr>
      <w:rPr>
        <w:u w:val="none"/>
      </w:rPr>
    </w:lvl>
  </w:abstractNum>
  <w:abstractNum w:abstractNumId="10" w15:restartNumberingAfterBreak="0">
    <w:nsid w:val="6D8D1450"/>
    <w:multiLevelType w:val="hybridMultilevel"/>
    <w:tmpl w:val="EB0A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A236FF"/>
    <w:multiLevelType w:val="hybridMultilevel"/>
    <w:tmpl w:val="276E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BD5590"/>
    <w:multiLevelType w:val="hybridMultilevel"/>
    <w:tmpl w:val="03F8B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0"/>
  </w:num>
  <w:num w:numId="4">
    <w:abstractNumId w:val="4"/>
  </w:num>
  <w:num w:numId="5">
    <w:abstractNumId w:val="11"/>
  </w:num>
  <w:num w:numId="6">
    <w:abstractNumId w:val="3"/>
  </w:num>
  <w:num w:numId="7">
    <w:abstractNumId w:val="5"/>
  </w:num>
  <w:num w:numId="8">
    <w:abstractNumId w:val="8"/>
  </w:num>
  <w:num w:numId="9">
    <w:abstractNumId w:val="7"/>
  </w:num>
  <w:num w:numId="10">
    <w:abstractNumId w:val="10"/>
  </w:num>
  <w:num w:numId="11">
    <w:abstractNumId w:val="12"/>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2CA"/>
    <w:rsid w:val="00001C96"/>
    <w:rsid w:val="00004256"/>
    <w:rsid w:val="000061C8"/>
    <w:rsid w:val="000072ED"/>
    <w:rsid w:val="000132D1"/>
    <w:rsid w:val="00015A93"/>
    <w:rsid w:val="000168A8"/>
    <w:rsid w:val="000202E3"/>
    <w:rsid w:val="00020E8A"/>
    <w:rsid w:val="00022BEC"/>
    <w:rsid w:val="00024F86"/>
    <w:rsid w:val="0003331A"/>
    <w:rsid w:val="00033BB0"/>
    <w:rsid w:val="00034D27"/>
    <w:rsid w:val="000351C5"/>
    <w:rsid w:val="000364C5"/>
    <w:rsid w:val="0004129A"/>
    <w:rsid w:val="00041F28"/>
    <w:rsid w:val="00044316"/>
    <w:rsid w:val="000448D2"/>
    <w:rsid w:val="000463AC"/>
    <w:rsid w:val="00050450"/>
    <w:rsid w:val="00050AB4"/>
    <w:rsid w:val="00051B0B"/>
    <w:rsid w:val="00052F8A"/>
    <w:rsid w:val="00053C5B"/>
    <w:rsid w:val="00055414"/>
    <w:rsid w:val="0005650A"/>
    <w:rsid w:val="00056932"/>
    <w:rsid w:val="00061184"/>
    <w:rsid w:val="00062685"/>
    <w:rsid w:val="0006408B"/>
    <w:rsid w:val="000649A1"/>
    <w:rsid w:val="00065160"/>
    <w:rsid w:val="000660B7"/>
    <w:rsid w:val="00070362"/>
    <w:rsid w:val="00071A39"/>
    <w:rsid w:val="0007466C"/>
    <w:rsid w:val="00075A4E"/>
    <w:rsid w:val="00075AB5"/>
    <w:rsid w:val="000767B2"/>
    <w:rsid w:val="00080C5D"/>
    <w:rsid w:val="000831D9"/>
    <w:rsid w:val="00083598"/>
    <w:rsid w:val="00085535"/>
    <w:rsid w:val="00085EB8"/>
    <w:rsid w:val="00085F60"/>
    <w:rsid w:val="0008678C"/>
    <w:rsid w:val="000908C2"/>
    <w:rsid w:val="0009215F"/>
    <w:rsid w:val="00094007"/>
    <w:rsid w:val="00094347"/>
    <w:rsid w:val="000947A7"/>
    <w:rsid w:val="000953D6"/>
    <w:rsid w:val="000A01C4"/>
    <w:rsid w:val="000A1EE5"/>
    <w:rsid w:val="000A248F"/>
    <w:rsid w:val="000A265A"/>
    <w:rsid w:val="000A419C"/>
    <w:rsid w:val="000A78A5"/>
    <w:rsid w:val="000B2272"/>
    <w:rsid w:val="000C0A41"/>
    <w:rsid w:val="000C33EF"/>
    <w:rsid w:val="000C62FF"/>
    <w:rsid w:val="000C6CD0"/>
    <w:rsid w:val="000C6E6B"/>
    <w:rsid w:val="000D19B4"/>
    <w:rsid w:val="000D218B"/>
    <w:rsid w:val="000D4F46"/>
    <w:rsid w:val="000D5E36"/>
    <w:rsid w:val="000D65D5"/>
    <w:rsid w:val="000E0383"/>
    <w:rsid w:val="000E1C07"/>
    <w:rsid w:val="000E27D7"/>
    <w:rsid w:val="000E44B6"/>
    <w:rsid w:val="000E5EB7"/>
    <w:rsid w:val="000F09CB"/>
    <w:rsid w:val="000F18A8"/>
    <w:rsid w:val="000F6B6A"/>
    <w:rsid w:val="000F7AAF"/>
    <w:rsid w:val="001002FE"/>
    <w:rsid w:val="00100783"/>
    <w:rsid w:val="00103624"/>
    <w:rsid w:val="00103D13"/>
    <w:rsid w:val="001051DD"/>
    <w:rsid w:val="0010581D"/>
    <w:rsid w:val="00105EB0"/>
    <w:rsid w:val="001076AC"/>
    <w:rsid w:val="00107707"/>
    <w:rsid w:val="001100AB"/>
    <w:rsid w:val="0011147D"/>
    <w:rsid w:val="0011176E"/>
    <w:rsid w:val="00112F92"/>
    <w:rsid w:val="00114372"/>
    <w:rsid w:val="001145E6"/>
    <w:rsid w:val="00114D61"/>
    <w:rsid w:val="00116912"/>
    <w:rsid w:val="00117789"/>
    <w:rsid w:val="00120808"/>
    <w:rsid w:val="0012145B"/>
    <w:rsid w:val="00122F4C"/>
    <w:rsid w:val="00124A8C"/>
    <w:rsid w:val="00125CC5"/>
    <w:rsid w:val="001270C4"/>
    <w:rsid w:val="00127A7E"/>
    <w:rsid w:val="00130950"/>
    <w:rsid w:val="00130E46"/>
    <w:rsid w:val="0013114A"/>
    <w:rsid w:val="001339B5"/>
    <w:rsid w:val="00133F97"/>
    <w:rsid w:val="001363C7"/>
    <w:rsid w:val="00140A96"/>
    <w:rsid w:val="00140DA6"/>
    <w:rsid w:val="00141966"/>
    <w:rsid w:val="001428A3"/>
    <w:rsid w:val="00143C14"/>
    <w:rsid w:val="00145799"/>
    <w:rsid w:val="0014657E"/>
    <w:rsid w:val="001513B6"/>
    <w:rsid w:val="00151A8D"/>
    <w:rsid w:val="00152239"/>
    <w:rsid w:val="00153FF4"/>
    <w:rsid w:val="00160B8D"/>
    <w:rsid w:val="0016202D"/>
    <w:rsid w:val="00162860"/>
    <w:rsid w:val="00163CA9"/>
    <w:rsid w:val="00164684"/>
    <w:rsid w:val="00165514"/>
    <w:rsid w:val="00166356"/>
    <w:rsid w:val="001708BF"/>
    <w:rsid w:val="00170F55"/>
    <w:rsid w:val="00172384"/>
    <w:rsid w:val="00172B32"/>
    <w:rsid w:val="0017396B"/>
    <w:rsid w:val="001744C7"/>
    <w:rsid w:val="00174956"/>
    <w:rsid w:val="00180207"/>
    <w:rsid w:val="00181280"/>
    <w:rsid w:val="00181313"/>
    <w:rsid w:val="001819B6"/>
    <w:rsid w:val="001823F0"/>
    <w:rsid w:val="00183C7C"/>
    <w:rsid w:val="00191619"/>
    <w:rsid w:val="00191F49"/>
    <w:rsid w:val="00192611"/>
    <w:rsid w:val="0019697C"/>
    <w:rsid w:val="001A1F51"/>
    <w:rsid w:val="001A2966"/>
    <w:rsid w:val="001A737B"/>
    <w:rsid w:val="001B0543"/>
    <w:rsid w:val="001B3335"/>
    <w:rsid w:val="001B3550"/>
    <w:rsid w:val="001B44E6"/>
    <w:rsid w:val="001B4C2F"/>
    <w:rsid w:val="001B5798"/>
    <w:rsid w:val="001B723D"/>
    <w:rsid w:val="001C1B9A"/>
    <w:rsid w:val="001C32E0"/>
    <w:rsid w:val="001C62B8"/>
    <w:rsid w:val="001C6554"/>
    <w:rsid w:val="001C678B"/>
    <w:rsid w:val="001D04E8"/>
    <w:rsid w:val="001D0FA6"/>
    <w:rsid w:val="001D1831"/>
    <w:rsid w:val="001D488A"/>
    <w:rsid w:val="001E080D"/>
    <w:rsid w:val="001E0F9A"/>
    <w:rsid w:val="001E10DC"/>
    <w:rsid w:val="001E207F"/>
    <w:rsid w:val="001E3364"/>
    <w:rsid w:val="001E3EB4"/>
    <w:rsid w:val="001E3FC8"/>
    <w:rsid w:val="001E5B9F"/>
    <w:rsid w:val="001E7439"/>
    <w:rsid w:val="001F10BE"/>
    <w:rsid w:val="001F2BCF"/>
    <w:rsid w:val="001F36CE"/>
    <w:rsid w:val="001F391D"/>
    <w:rsid w:val="002046F8"/>
    <w:rsid w:val="002057F5"/>
    <w:rsid w:val="0020754E"/>
    <w:rsid w:val="002140AC"/>
    <w:rsid w:val="0021561C"/>
    <w:rsid w:val="0021578A"/>
    <w:rsid w:val="00216E9F"/>
    <w:rsid w:val="002175B9"/>
    <w:rsid w:val="00222C1F"/>
    <w:rsid w:val="00224E67"/>
    <w:rsid w:val="00224EAA"/>
    <w:rsid w:val="0022552F"/>
    <w:rsid w:val="00226D54"/>
    <w:rsid w:val="00230287"/>
    <w:rsid w:val="002304FD"/>
    <w:rsid w:val="00235996"/>
    <w:rsid w:val="0023641A"/>
    <w:rsid w:val="002376D8"/>
    <w:rsid w:val="00240415"/>
    <w:rsid w:val="00241FA1"/>
    <w:rsid w:val="0024408D"/>
    <w:rsid w:val="0024548A"/>
    <w:rsid w:val="0025098C"/>
    <w:rsid w:val="00253464"/>
    <w:rsid w:val="00256802"/>
    <w:rsid w:val="0025709B"/>
    <w:rsid w:val="002570B6"/>
    <w:rsid w:val="002572D8"/>
    <w:rsid w:val="00260A91"/>
    <w:rsid w:val="00261291"/>
    <w:rsid w:val="00262DD3"/>
    <w:rsid w:val="0026371D"/>
    <w:rsid w:val="002640F4"/>
    <w:rsid w:val="00265BF1"/>
    <w:rsid w:val="0026639F"/>
    <w:rsid w:val="002670BC"/>
    <w:rsid w:val="0027009C"/>
    <w:rsid w:val="00270384"/>
    <w:rsid w:val="00270E29"/>
    <w:rsid w:val="00271A44"/>
    <w:rsid w:val="00272D00"/>
    <w:rsid w:val="002742A0"/>
    <w:rsid w:val="002743A3"/>
    <w:rsid w:val="00275191"/>
    <w:rsid w:val="00276293"/>
    <w:rsid w:val="0027676E"/>
    <w:rsid w:val="0027705C"/>
    <w:rsid w:val="002819E3"/>
    <w:rsid w:val="002831C3"/>
    <w:rsid w:val="00284ED6"/>
    <w:rsid w:val="00285213"/>
    <w:rsid w:val="002874A9"/>
    <w:rsid w:val="002918DD"/>
    <w:rsid w:val="00291C04"/>
    <w:rsid w:val="00292238"/>
    <w:rsid w:val="00294A0D"/>
    <w:rsid w:val="00295AD2"/>
    <w:rsid w:val="00296122"/>
    <w:rsid w:val="002A0E6D"/>
    <w:rsid w:val="002A12BA"/>
    <w:rsid w:val="002A17D6"/>
    <w:rsid w:val="002A1936"/>
    <w:rsid w:val="002A447C"/>
    <w:rsid w:val="002A4C31"/>
    <w:rsid w:val="002A540D"/>
    <w:rsid w:val="002A5741"/>
    <w:rsid w:val="002B081E"/>
    <w:rsid w:val="002B2872"/>
    <w:rsid w:val="002B3870"/>
    <w:rsid w:val="002C006E"/>
    <w:rsid w:val="002C014D"/>
    <w:rsid w:val="002C0DE0"/>
    <w:rsid w:val="002C2F56"/>
    <w:rsid w:val="002C3A8C"/>
    <w:rsid w:val="002C4EB1"/>
    <w:rsid w:val="002C559A"/>
    <w:rsid w:val="002C6E58"/>
    <w:rsid w:val="002C738E"/>
    <w:rsid w:val="002D0017"/>
    <w:rsid w:val="002D024E"/>
    <w:rsid w:val="002D4AD2"/>
    <w:rsid w:val="002D5A1F"/>
    <w:rsid w:val="002D5F66"/>
    <w:rsid w:val="002D77AE"/>
    <w:rsid w:val="002E5060"/>
    <w:rsid w:val="002F36DD"/>
    <w:rsid w:val="002F3959"/>
    <w:rsid w:val="002F48B3"/>
    <w:rsid w:val="002F51DF"/>
    <w:rsid w:val="002F735A"/>
    <w:rsid w:val="00300AA4"/>
    <w:rsid w:val="00302D30"/>
    <w:rsid w:val="003050E6"/>
    <w:rsid w:val="00307135"/>
    <w:rsid w:val="00310825"/>
    <w:rsid w:val="00310826"/>
    <w:rsid w:val="00310A44"/>
    <w:rsid w:val="00320644"/>
    <w:rsid w:val="0032089C"/>
    <w:rsid w:val="00321A73"/>
    <w:rsid w:val="00322021"/>
    <w:rsid w:val="003224EB"/>
    <w:rsid w:val="00322779"/>
    <w:rsid w:val="00325B12"/>
    <w:rsid w:val="00326BEB"/>
    <w:rsid w:val="0032780C"/>
    <w:rsid w:val="00327E01"/>
    <w:rsid w:val="0033005C"/>
    <w:rsid w:val="00331223"/>
    <w:rsid w:val="00334AEF"/>
    <w:rsid w:val="00336928"/>
    <w:rsid w:val="00336EC6"/>
    <w:rsid w:val="00337165"/>
    <w:rsid w:val="00341140"/>
    <w:rsid w:val="00341422"/>
    <w:rsid w:val="00347682"/>
    <w:rsid w:val="00347953"/>
    <w:rsid w:val="00347C4F"/>
    <w:rsid w:val="003502E8"/>
    <w:rsid w:val="00351A5D"/>
    <w:rsid w:val="00351B95"/>
    <w:rsid w:val="003541B9"/>
    <w:rsid w:val="00354467"/>
    <w:rsid w:val="0035480F"/>
    <w:rsid w:val="00360D33"/>
    <w:rsid w:val="0036180D"/>
    <w:rsid w:val="00361825"/>
    <w:rsid w:val="00364C1D"/>
    <w:rsid w:val="00365E45"/>
    <w:rsid w:val="00366EC1"/>
    <w:rsid w:val="00367036"/>
    <w:rsid w:val="003679F9"/>
    <w:rsid w:val="0037059D"/>
    <w:rsid w:val="0037200D"/>
    <w:rsid w:val="00375ED8"/>
    <w:rsid w:val="00376114"/>
    <w:rsid w:val="003806C2"/>
    <w:rsid w:val="00381591"/>
    <w:rsid w:val="0038367B"/>
    <w:rsid w:val="00384209"/>
    <w:rsid w:val="00386893"/>
    <w:rsid w:val="00392DD4"/>
    <w:rsid w:val="0039329C"/>
    <w:rsid w:val="00395B55"/>
    <w:rsid w:val="00395F43"/>
    <w:rsid w:val="00396CE6"/>
    <w:rsid w:val="003971DD"/>
    <w:rsid w:val="00397C74"/>
    <w:rsid w:val="003A0797"/>
    <w:rsid w:val="003A0AEE"/>
    <w:rsid w:val="003A1A5A"/>
    <w:rsid w:val="003A1D71"/>
    <w:rsid w:val="003A2981"/>
    <w:rsid w:val="003A55CD"/>
    <w:rsid w:val="003A6391"/>
    <w:rsid w:val="003A7849"/>
    <w:rsid w:val="003B3426"/>
    <w:rsid w:val="003B6A17"/>
    <w:rsid w:val="003B7380"/>
    <w:rsid w:val="003B73A9"/>
    <w:rsid w:val="003C0B5D"/>
    <w:rsid w:val="003C143D"/>
    <w:rsid w:val="003C3865"/>
    <w:rsid w:val="003C4CF5"/>
    <w:rsid w:val="003D02F6"/>
    <w:rsid w:val="003D0492"/>
    <w:rsid w:val="003D2AC3"/>
    <w:rsid w:val="003D34A6"/>
    <w:rsid w:val="003D65A5"/>
    <w:rsid w:val="003E308E"/>
    <w:rsid w:val="003E3D60"/>
    <w:rsid w:val="003E45A6"/>
    <w:rsid w:val="003E7B07"/>
    <w:rsid w:val="003F016D"/>
    <w:rsid w:val="003F1DF1"/>
    <w:rsid w:val="003F7E40"/>
    <w:rsid w:val="0040405A"/>
    <w:rsid w:val="00405327"/>
    <w:rsid w:val="00405D8C"/>
    <w:rsid w:val="00405F0F"/>
    <w:rsid w:val="004068B6"/>
    <w:rsid w:val="00411F84"/>
    <w:rsid w:val="00412C00"/>
    <w:rsid w:val="00413639"/>
    <w:rsid w:val="00413DF8"/>
    <w:rsid w:val="0041418A"/>
    <w:rsid w:val="004165FF"/>
    <w:rsid w:val="0042092B"/>
    <w:rsid w:val="00423833"/>
    <w:rsid w:val="00423DF3"/>
    <w:rsid w:val="00424623"/>
    <w:rsid w:val="0042611D"/>
    <w:rsid w:val="00430958"/>
    <w:rsid w:val="00431939"/>
    <w:rsid w:val="00433F67"/>
    <w:rsid w:val="004379A8"/>
    <w:rsid w:val="004413FF"/>
    <w:rsid w:val="00441856"/>
    <w:rsid w:val="00442129"/>
    <w:rsid w:val="004440AC"/>
    <w:rsid w:val="00444C5B"/>
    <w:rsid w:val="00445B7B"/>
    <w:rsid w:val="004461A8"/>
    <w:rsid w:val="0045039B"/>
    <w:rsid w:val="00451939"/>
    <w:rsid w:val="004533F1"/>
    <w:rsid w:val="00454E32"/>
    <w:rsid w:val="00456205"/>
    <w:rsid w:val="00462732"/>
    <w:rsid w:val="00462B30"/>
    <w:rsid w:val="00463D0B"/>
    <w:rsid w:val="00470175"/>
    <w:rsid w:val="00471CDC"/>
    <w:rsid w:val="00476B11"/>
    <w:rsid w:val="00477EFC"/>
    <w:rsid w:val="00480536"/>
    <w:rsid w:val="004824B4"/>
    <w:rsid w:val="004837E0"/>
    <w:rsid w:val="00483E18"/>
    <w:rsid w:val="004848D0"/>
    <w:rsid w:val="00493AAC"/>
    <w:rsid w:val="00495C0D"/>
    <w:rsid w:val="004A1DA8"/>
    <w:rsid w:val="004A30A7"/>
    <w:rsid w:val="004A32A1"/>
    <w:rsid w:val="004A6BA5"/>
    <w:rsid w:val="004A7EAC"/>
    <w:rsid w:val="004B0293"/>
    <w:rsid w:val="004B168D"/>
    <w:rsid w:val="004B2F35"/>
    <w:rsid w:val="004B439D"/>
    <w:rsid w:val="004B43F5"/>
    <w:rsid w:val="004B606C"/>
    <w:rsid w:val="004B7902"/>
    <w:rsid w:val="004C2DF9"/>
    <w:rsid w:val="004C3141"/>
    <w:rsid w:val="004C35FD"/>
    <w:rsid w:val="004C4298"/>
    <w:rsid w:val="004C57B4"/>
    <w:rsid w:val="004C67BB"/>
    <w:rsid w:val="004C6962"/>
    <w:rsid w:val="004C7200"/>
    <w:rsid w:val="004C781E"/>
    <w:rsid w:val="004C7B75"/>
    <w:rsid w:val="004D033C"/>
    <w:rsid w:val="004D2219"/>
    <w:rsid w:val="004D43A3"/>
    <w:rsid w:val="004D7E7D"/>
    <w:rsid w:val="004D7F9E"/>
    <w:rsid w:val="004E0E5A"/>
    <w:rsid w:val="004E18B0"/>
    <w:rsid w:val="004E25B5"/>
    <w:rsid w:val="004E291F"/>
    <w:rsid w:val="004E3C0B"/>
    <w:rsid w:val="004E6D1D"/>
    <w:rsid w:val="004E6F3F"/>
    <w:rsid w:val="004EBC5F"/>
    <w:rsid w:val="004F06D8"/>
    <w:rsid w:val="004F13DC"/>
    <w:rsid w:val="004F14F5"/>
    <w:rsid w:val="004F4A03"/>
    <w:rsid w:val="004F5BD6"/>
    <w:rsid w:val="004F5C8C"/>
    <w:rsid w:val="004F6AF5"/>
    <w:rsid w:val="005015BB"/>
    <w:rsid w:val="00501765"/>
    <w:rsid w:val="00503427"/>
    <w:rsid w:val="005065EC"/>
    <w:rsid w:val="00506B17"/>
    <w:rsid w:val="00506C04"/>
    <w:rsid w:val="0050717D"/>
    <w:rsid w:val="00507854"/>
    <w:rsid w:val="005106B6"/>
    <w:rsid w:val="00512CB8"/>
    <w:rsid w:val="00512D59"/>
    <w:rsid w:val="00513A8B"/>
    <w:rsid w:val="0052217A"/>
    <w:rsid w:val="005236C6"/>
    <w:rsid w:val="00524FD8"/>
    <w:rsid w:val="005253B6"/>
    <w:rsid w:val="00525D12"/>
    <w:rsid w:val="005301CE"/>
    <w:rsid w:val="00533D31"/>
    <w:rsid w:val="00534648"/>
    <w:rsid w:val="0053513B"/>
    <w:rsid w:val="005356AB"/>
    <w:rsid w:val="00535764"/>
    <w:rsid w:val="00536EDC"/>
    <w:rsid w:val="005376DE"/>
    <w:rsid w:val="005413D5"/>
    <w:rsid w:val="00541EEC"/>
    <w:rsid w:val="00543BFC"/>
    <w:rsid w:val="005449D2"/>
    <w:rsid w:val="00544D48"/>
    <w:rsid w:val="00546299"/>
    <w:rsid w:val="00546771"/>
    <w:rsid w:val="00546F8F"/>
    <w:rsid w:val="005477E0"/>
    <w:rsid w:val="00551637"/>
    <w:rsid w:val="005516E5"/>
    <w:rsid w:val="00552223"/>
    <w:rsid w:val="005523E3"/>
    <w:rsid w:val="00552A16"/>
    <w:rsid w:val="0055479A"/>
    <w:rsid w:val="00554B27"/>
    <w:rsid w:val="00554DF8"/>
    <w:rsid w:val="00554F80"/>
    <w:rsid w:val="00555F14"/>
    <w:rsid w:val="00556CF3"/>
    <w:rsid w:val="005608CD"/>
    <w:rsid w:val="00560C16"/>
    <w:rsid w:val="00561638"/>
    <w:rsid w:val="005620BE"/>
    <w:rsid w:val="00564F9B"/>
    <w:rsid w:val="00570959"/>
    <w:rsid w:val="00571610"/>
    <w:rsid w:val="005727DB"/>
    <w:rsid w:val="00573ADC"/>
    <w:rsid w:val="00574F09"/>
    <w:rsid w:val="00576699"/>
    <w:rsid w:val="00580382"/>
    <w:rsid w:val="00582EE2"/>
    <w:rsid w:val="00584057"/>
    <w:rsid w:val="005875A8"/>
    <w:rsid w:val="005877FD"/>
    <w:rsid w:val="00590F23"/>
    <w:rsid w:val="00591066"/>
    <w:rsid w:val="00591559"/>
    <w:rsid w:val="00591B21"/>
    <w:rsid w:val="00591FA7"/>
    <w:rsid w:val="00592001"/>
    <w:rsid w:val="005964F3"/>
    <w:rsid w:val="00597131"/>
    <w:rsid w:val="00597765"/>
    <w:rsid w:val="005A0D53"/>
    <w:rsid w:val="005A178B"/>
    <w:rsid w:val="005A2127"/>
    <w:rsid w:val="005A3608"/>
    <w:rsid w:val="005A41B3"/>
    <w:rsid w:val="005A6144"/>
    <w:rsid w:val="005B474E"/>
    <w:rsid w:val="005B5B7E"/>
    <w:rsid w:val="005B6097"/>
    <w:rsid w:val="005B6435"/>
    <w:rsid w:val="005B775A"/>
    <w:rsid w:val="005C0716"/>
    <w:rsid w:val="005C0BB7"/>
    <w:rsid w:val="005C12F9"/>
    <w:rsid w:val="005C234E"/>
    <w:rsid w:val="005C4D2A"/>
    <w:rsid w:val="005C6A9D"/>
    <w:rsid w:val="005D3AB1"/>
    <w:rsid w:val="005D4529"/>
    <w:rsid w:val="005D5DBE"/>
    <w:rsid w:val="005E275A"/>
    <w:rsid w:val="005E2D76"/>
    <w:rsid w:val="005F2EB0"/>
    <w:rsid w:val="005F383B"/>
    <w:rsid w:val="005F3F70"/>
    <w:rsid w:val="005F53F8"/>
    <w:rsid w:val="0060118B"/>
    <w:rsid w:val="0060134B"/>
    <w:rsid w:val="0060221C"/>
    <w:rsid w:val="00603736"/>
    <w:rsid w:val="00603A09"/>
    <w:rsid w:val="00603C47"/>
    <w:rsid w:val="00605089"/>
    <w:rsid w:val="00607EAC"/>
    <w:rsid w:val="00610B08"/>
    <w:rsid w:val="00611323"/>
    <w:rsid w:val="00612468"/>
    <w:rsid w:val="006152DF"/>
    <w:rsid w:val="00615CA5"/>
    <w:rsid w:val="00616473"/>
    <w:rsid w:val="00621552"/>
    <w:rsid w:val="00622E21"/>
    <w:rsid w:val="00622E7F"/>
    <w:rsid w:val="00623897"/>
    <w:rsid w:val="00626319"/>
    <w:rsid w:val="00627051"/>
    <w:rsid w:val="00630484"/>
    <w:rsid w:val="00630EED"/>
    <w:rsid w:val="00631042"/>
    <w:rsid w:val="00633511"/>
    <w:rsid w:val="00633C77"/>
    <w:rsid w:val="00633F15"/>
    <w:rsid w:val="00634362"/>
    <w:rsid w:val="00635677"/>
    <w:rsid w:val="0063730C"/>
    <w:rsid w:val="00640DE1"/>
    <w:rsid w:val="00641AA4"/>
    <w:rsid w:val="00647702"/>
    <w:rsid w:val="0065190F"/>
    <w:rsid w:val="00651D2A"/>
    <w:rsid w:val="00653A38"/>
    <w:rsid w:val="00655C70"/>
    <w:rsid w:val="00656285"/>
    <w:rsid w:val="006565F7"/>
    <w:rsid w:val="006567B8"/>
    <w:rsid w:val="006605DA"/>
    <w:rsid w:val="006609DE"/>
    <w:rsid w:val="00661DF0"/>
    <w:rsid w:val="00662178"/>
    <w:rsid w:val="00663BEB"/>
    <w:rsid w:val="00665D76"/>
    <w:rsid w:val="006662D5"/>
    <w:rsid w:val="006703CE"/>
    <w:rsid w:val="006724A5"/>
    <w:rsid w:val="0067266A"/>
    <w:rsid w:val="0068202D"/>
    <w:rsid w:val="006859F0"/>
    <w:rsid w:val="006879A4"/>
    <w:rsid w:val="0069070C"/>
    <w:rsid w:val="006915B1"/>
    <w:rsid w:val="0069214F"/>
    <w:rsid w:val="0069265E"/>
    <w:rsid w:val="00693D8B"/>
    <w:rsid w:val="00694152"/>
    <w:rsid w:val="00697EC4"/>
    <w:rsid w:val="006A0FCC"/>
    <w:rsid w:val="006A22F6"/>
    <w:rsid w:val="006A28FA"/>
    <w:rsid w:val="006A2CFC"/>
    <w:rsid w:val="006A518A"/>
    <w:rsid w:val="006A5A2E"/>
    <w:rsid w:val="006A63CC"/>
    <w:rsid w:val="006A69CC"/>
    <w:rsid w:val="006A7992"/>
    <w:rsid w:val="006B032B"/>
    <w:rsid w:val="006B0542"/>
    <w:rsid w:val="006B1F8D"/>
    <w:rsid w:val="006B2E61"/>
    <w:rsid w:val="006B5E85"/>
    <w:rsid w:val="006C0013"/>
    <w:rsid w:val="006C3D27"/>
    <w:rsid w:val="006C4F63"/>
    <w:rsid w:val="006C7C23"/>
    <w:rsid w:val="006D342A"/>
    <w:rsid w:val="006D3A56"/>
    <w:rsid w:val="006D5BBB"/>
    <w:rsid w:val="006E3745"/>
    <w:rsid w:val="006E4607"/>
    <w:rsid w:val="006E4B7A"/>
    <w:rsid w:val="006E5597"/>
    <w:rsid w:val="006F1348"/>
    <w:rsid w:val="006F19EF"/>
    <w:rsid w:val="006F2F77"/>
    <w:rsid w:val="006F42CA"/>
    <w:rsid w:val="006F5545"/>
    <w:rsid w:val="006F662A"/>
    <w:rsid w:val="00702A14"/>
    <w:rsid w:val="00703420"/>
    <w:rsid w:val="0070495E"/>
    <w:rsid w:val="00707F72"/>
    <w:rsid w:val="00710788"/>
    <w:rsid w:val="00711313"/>
    <w:rsid w:val="00711988"/>
    <w:rsid w:val="00711FF8"/>
    <w:rsid w:val="0071266F"/>
    <w:rsid w:val="00712E05"/>
    <w:rsid w:val="0071402F"/>
    <w:rsid w:val="00714ECA"/>
    <w:rsid w:val="00714FA6"/>
    <w:rsid w:val="00721CF4"/>
    <w:rsid w:val="00721F15"/>
    <w:rsid w:val="0072274A"/>
    <w:rsid w:val="00724AFF"/>
    <w:rsid w:val="00727B11"/>
    <w:rsid w:val="007306EB"/>
    <w:rsid w:val="00735BDC"/>
    <w:rsid w:val="00735E77"/>
    <w:rsid w:val="0073622E"/>
    <w:rsid w:val="007366C3"/>
    <w:rsid w:val="00736BFD"/>
    <w:rsid w:val="00741A69"/>
    <w:rsid w:val="007435FD"/>
    <w:rsid w:val="0074381D"/>
    <w:rsid w:val="00744BA7"/>
    <w:rsid w:val="00747E6E"/>
    <w:rsid w:val="00763329"/>
    <w:rsid w:val="007638E0"/>
    <w:rsid w:val="007643F8"/>
    <w:rsid w:val="0076468E"/>
    <w:rsid w:val="00765FA3"/>
    <w:rsid w:val="00767107"/>
    <w:rsid w:val="007708C1"/>
    <w:rsid w:val="00770FE4"/>
    <w:rsid w:val="007725AD"/>
    <w:rsid w:val="00775C96"/>
    <w:rsid w:val="00776481"/>
    <w:rsid w:val="0077681A"/>
    <w:rsid w:val="00777305"/>
    <w:rsid w:val="007805A3"/>
    <w:rsid w:val="00783091"/>
    <w:rsid w:val="00783306"/>
    <w:rsid w:val="007868A8"/>
    <w:rsid w:val="00790C5A"/>
    <w:rsid w:val="00791DAD"/>
    <w:rsid w:val="00792564"/>
    <w:rsid w:val="00793031"/>
    <w:rsid w:val="00793D14"/>
    <w:rsid w:val="00797223"/>
    <w:rsid w:val="007A1CB5"/>
    <w:rsid w:val="007A3BFC"/>
    <w:rsid w:val="007A4502"/>
    <w:rsid w:val="007A69BB"/>
    <w:rsid w:val="007A77BF"/>
    <w:rsid w:val="007B0322"/>
    <w:rsid w:val="007B467F"/>
    <w:rsid w:val="007B4EC7"/>
    <w:rsid w:val="007C2983"/>
    <w:rsid w:val="007C2A62"/>
    <w:rsid w:val="007D0092"/>
    <w:rsid w:val="007D0FAD"/>
    <w:rsid w:val="007D467A"/>
    <w:rsid w:val="007D4D7C"/>
    <w:rsid w:val="007D4F47"/>
    <w:rsid w:val="007D54B0"/>
    <w:rsid w:val="007D5629"/>
    <w:rsid w:val="007E0577"/>
    <w:rsid w:val="007E34DE"/>
    <w:rsid w:val="007F0D9E"/>
    <w:rsid w:val="007F2E5A"/>
    <w:rsid w:val="007F3398"/>
    <w:rsid w:val="007F3CCD"/>
    <w:rsid w:val="007F691C"/>
    <w:rsid w:val="007F7ED8"/>
    <w:rsid w:val="008002F6"/>
    <w:rsid w:val="008019E8"/>
    <w:rsid w:val="008020CE"/>
    <w:rsid w:val="0080214F"/>
    <w:rsid w:val="00803E59"/>
    <w:rsid w:val="0080456D"/>
    <w:rsid w:val="00805DE3"/>
    <w:rsid w:val="0081056E"/>
    <w:rsid w:val="00810DBE"/>
    <w:rsid w:val="008134AC"/>
    <w:rsid w:val="00813639"/>
    <w:rsid w:val="00813C00"/>
    <w:rsid w:val="00814088"/>
    <w:rsid w:val="00814CA8"/>
    <w:rsid w:val="008169B0"/>
    <w:rsid w:val="008177BD"/>
    <w:rsid w:val="008218D2"/>
    <w:rsid w:val="00823203"/>
    <w:rsid w:val="00830183"/>
    <w:rsid w:val="00832C6B"/>
    <w:rsid w:val="00835864"/>
    <w:rsid w:val="0083602D"/>
    <w:rsid w:val="008364C7"/>
    <w:rsid w:val="00836ADD"/>
    <w:rsid w:val="00837D13"/>
    <w:rsid w:val="00840299"/>
    <w:rsid w:val="0084053C"/>
    <w:rsid w:val="008408A3"/>
    <w:rsid w:val="00841CCB"/>
    <w:rsid w:val="008441B5"/>
    <w:rsid w:val="00845F4C"/>
    <w:rsid w:val="008462C0"/>
    <w:rsid w:val="00847CAD"/>
    <w:rsid w:val="00850A4B"/>
    <w:rsid w:val="008519CE"/>
    <w:rsid w:val="00851B0E"/>
    <w:rsid w:val="00851D8A"/>
    <w:rsid w:val="00852012"/>
    <w:rsid w:val="008533A8"/>
    <w:rsid w:val="00853690"/>
    <w:rsid w:val="00854661"/>
    <w:rsid w:val="00855EF9"/>
    <w:rsid w:val="00857999"/>
    <w:rsid w:val="00861CDD"/>
    <w:rsid w:val="00865AD7"/>
    <w:rsid w:val="0086686D"/>
    <w:rsid w:val="00867A77"/>
    <w:rsid w:val="00871226"/>
    <w:rsid w:val="008733B4"/>
    <w:rsid w:val="00874F06"/>
    <w:rsid w:val="008762AD"/>
    <w:rsid w:val="008765B6"/>
    <w:rsid w:val="00876F1D"/>
    <w:rsid w:val="0087747B"/>
    <w:rsid w:val="00883A94"/>
    <w:rsid w:val="008854AA"/>
    <w:rsid w:val="008908A8"/>
    <w:rsid w:val="00890D36"/>
    <w:rsid w:val="008933DF"/>
    <w:rsid w:val="00894F0E"/>
    <w:rsid w:val="008975C6"/>
    <w:rsid w:val="0089780F"/>
    <w:rsid w:val="008A13A5"/>
    <w:rsid w:val="008A1FE2"/>
    <w:rsid w:val="008A27FD"/>
    <w:rsid w:val="008A3B11"/>
    <w:rsid w:val="008A561C"/>
    <w:rsid w:val="008A5834"/>
    <w:rsid w:val="008A5930"/>
    <w:rsid w:val="008A66A0"/>
    <w:rsid w:val="008B0679"/>
    <w:rsid w:val="008B0E8C"/>
    <w:rsid w:val="008B14FC"/>
    <w:rsid w:val="008B2ED5"/>
    <w:rsid w:val="008B3525"/>
    <w:rsid w:val="008B501E"/>
    <w:rsid w:val="008B5A5F"/>
    <w:rsid w:val="008B7DF1"/>
    <w:rsid w:val="008C1064"/>
    <w:rsid w:val="008C1505"/>
    <w:rsid w:val="008C32AC"/>
    <w:rsid w:val="008C3850"/>
    <w:rsid w:val="008C3D1A"/>
    <w:rsid w:val="008C3E53"/>
    <w:rsid w:val="008C46E5"/>
    <w:rsid w:val="008C50C9"/>
    <w:rsid w:val="008C5AB2"/>
    <w:rsid w:val="008C7153"/>
    <w:rsid w:val="008D2357"/>
    <w:rsid w:val="008D23CB"/>
    <w:rsid w:val="008D3646"/>
    <w:rsid w:val="008E46B1"/>
    <w:rsid w:val="008E61CD"/>
    <w:rsid w:val="008E66CC"/>
    <w:rsid w:val="008E70AD"/>
    <w:rsid w:val="008E7A18"/>
    <w:rsid w:val="008E7A56"/>
    <w:rsid w:val="008E7E90"/>
    <w:rsid w:val="008F1202"/>
    <w:rsid w:val="008F21BD"/>
    <w:rsid w:val="008F2DDA"/>
    <w:rsid w:val="008F3A9C"/>
    <w:rsid w:val="008F4C2A"/>
    <w:rsid w:val="008F6393"/>
    <w:rsid w:val="008F6653"/>
    <w:rsid w:val="008F69AF"/>
    <w:rsid w:val="008F7F6C"/>
    <w:rsid w:val="009003A2"/>
    <w:rsid w:val="0090105D"/>
    <w:rsid w:val="00901610"/>
    <w:rsid w:val="00901D16"/>
    <w:rsid w:val="009038B6"/>
    <w:rsid w:val="00905544"/>
    <w:rsid w:val="00905C8D"/>
    <w:rsid w:val="009143DD"/>
    <w:rsid w:val="009144D4"/>
    <w:rsid w:val="00915FC6"/>
    <w:rsid w:val="0091628F"/>
    <w:rsid w:val="0091675F"/>
    <w:rsid w:val="00916B01"/>
    <w:rsid w:val="00926F7D"/>
    <w:rsid w:val="00927C25"/>
    <w:rsid w:val="0093012F"/>
    <w:rsid w:val="009311C2"/>
    <w:rsid w:val="00932B1D"/>
    <w:rsid w:val="00932C33"/>
    <w:rsid w:val="009335BC"/>
    <w:rsid w:val="009409F8"/>
    <w:rsid w:val="00940B1C"/>
    <w:rsid w:val="00940C0E"/>
    <w:rsid w:val="00942FB6"/>
    <w:rsid w:val="00944205"/>
    <w:rsid w:val="009447D6"/>
    <w:rsid w:val="0094588B"/>
    <w:rsid w:val="009508CE"/>
    <w:rsid w:val="0095154C"/>
    <w:rsid w:val="0095185A"/>
    <w:rsid w:val="00957E31"/>
    <w:rsid w:val="009603B7"/>
    <w:rsid w:val="009618D7"/>
    <w:rsid w:val="00961D62"/>
    <w:rsid w:val="00962618"/>
    <w:rsid w:val="00962E9D"/>
    <w:rsid w:val="00964B09"/>
    <w:rsid w:val="009650BB"/>
    <w:rsid w:val="00965B56"/>
    <w:rsid w:val="00970DBF"/>
    <w:rsid w:val="00970F5E"/>
    <w:rsid w:val="00972B6D"/>
    <w:rsid w:val="00972BF9"/>
    <w:rsid w:val="00974D3C"/>
    <w:rsid w:val="00975135"/>
    <w:rsid w:val="009754C7"/>
    <w:rsid w:val="00975EBE"/>
    <w:rsid w:val="0097691F"/>
    <w:rsid w:val="00977533"/>
    <w:rsid w:val="00980C40"/>
    <w:rsid w:val="00981145"/>
    <w:rsid w:val="009811C9"/>
    <w:rsid w:val="00982522"/>
    <w:rsid w:val="0098264B"/>
    <w:rsid w:val="00982CD4"/>
    <w:rsid w:val="009869E7"/>
    <w:rsid w:val="00986B36"/>
    <w:rsid w:val="00987141"/>
    <w:rsid w:val="00991384"/>
    <w:rsid w:val="00993A45"/>
    <w:rsid w:val="00993B29"/>
    <w:rsid w:val="009953E0"/>
    <w:rsid w:val="00997F07"/>
    <w:rsid w:val="009A1B94"/>
    <w:rsid w:val="009A1F7B"/>
    <w:rsid w:val="009A2250"/>
    <w:rsid w:val="009A3C66"/>
    <w:rsid w:val="009A48C0"/>
    <w:rsid w:val="009A4ED3"/>
    <w:rsid w:val="009A6BFD"/>
    <w:rsid w:val="009A7400"/>
    <w:rsid w:val="009A7C10"/>
    <w:rsid w:val="009B0596"/>
    <w:rsid w:val="009B1001"/>
    <w:rsid w:val="009B21E3"/>
    <w:rsid w:val="009B3C0A"/>
    <w:rsid w:val="009B4721"/>
    <w:rsid w:val="009B5A74"/>
    <w:rsid w:val="009B5C93"/>
    <w:rsid w:val="009B5FD8"/>
    <w:rsid w:val="009B7550"/>
    <w:rsid w:val="009B7C44"/>
    <w:rsid w:val="009C1039"/>
    <w:rsid w:val="009C15D9"/>
    <w:rsid w:val="009C3746"/>
    <w:rsid w:val="009C387D"/>
    <w:rsid w:val="009D00E7"/>
    <w:rsid w:val="009D12CD"/>
    <w:rsid w:val="009D1974"/>
    <w:rsid w:val="009D5E05"/>
    <w:rsid w:val="009D786D"/>
    <w:rsid w:val="009D7E13"/>
    <w:rsid w:val="009E1079"/>
    <w:rsid w:val="009E2032"/>
    <w:rsid w:val="009E30CF"/>
    <w:rsid w:val="009E65A3"/>
    <w:rsid w:val="009F0FEA"/>
    <w:rsid w:val="009F1652"/>
    <w:rsid w:val="009F3245"/>
    <w:rsid w:val="009F5BFD"/>
    <w:rsid w:val="009F686B"/>
    <w:rsid w:val="00A012E6"/>
    <w:rsid w:val="00A014E7"/>
    <w:rsid w:val="00A03691"/>
    <w:rsid w:val="00A03898"/>
    <w:rsid w:val="00A04AA0"/>
    <w:rsid w:val="00A07391"/>
    <w:rsid w:val="00A11B8F"/>
    <w:rsid w:val="00A11D39"/>
    <w:rsid w:val="00A141D5"/>
    <w:rsid w:val="00A157CA"/>
    <w:rsid w:val="00A1681D"/>
    <w:rsid w:val="00A17367"/>
    <w:rsid w:val="00A17E2D"/>
    <w:rsid w:val="00A213DE"/>
    <w:rsid w:val="00A2148D"/>
    <w:rsid w:val="00A2229E"/>
    <w:rsid w:val="00A2238E"/>
    <w:rsid w:val="00A2412D"/>
    <w:rsid w:val="00A24767"/>
    <w:rsid w:val="00A2598B"/>
    <w:rsid w:val="00A35A1B"/>
    <w:rsid w:val="00A36FC4"/>
    <w:rsid w:val="00A432CD"/>
    <w:rsid w:val="00A44D3D"/>
    <w:rsid w:val="00A52252"/>
    <w:rsid w:val="00A535F7"/>
    <w:rsid w:val="00A542FD"/>
    <w:rsid w:val="00A5667A"/>
    <w:rsid w:val="00A571FA"/>
    <w:rsid w:val="00A629FD"/>
    <w:rsid w:val="00A63333"/>
    <w:rsid w:val="00A655C1"/>
    <w:rsid w:val="00A67984"/>
    <w:rsid w:val="00A7196A"/>
    <w:rsid w:val="00A71ACE"/>
    <w:rsid w:val="00A71BB7"/>
    <w:rsid w:val="00A818A9"/>
    <w:rsid w:val="00A81A2A"/>
    <w:rsid w:val="00A82125"/>
    <w:rsid w:val="00A82626"/>
    <w:rsid w:val="00A85509"/>
    <w:rsid w:val="00A86CD2"/>
    <w:rsid w:val="00A86DB6"/>
    <w:rsid w:val="00A910F3"/>
    <w:rsid w:val="00A91B7D"/>
    <w:rsid w:val="00A91BCD"/>
    <w:rsid w:val="00A92D74"/>
    <w:rsid w:val="00A93E0D"/>
    <w:rsid w:val="00A94DA0"/>
    <w:rsid w:val="00A95F4C"/>
    <w:rsid w:val="00A96E56"/>
    <w:rsid w:val="00A96F47"/>
    <w:rsid w:val="00AA18F4"/>
    <w:rsid w:val="00AA232A"/>
    <w:rsid w:val="00AA240A"/>
    <w:rsid w:val="00AA2FC5"/>
    <w:rsid w:val="00AA3695"/>
    <w:rsid w:val="00AA5C7C"/>
    <w:rsid w:val="00AA76E0"/>
    <w:rsid w:val="00AB043C"/>
    <w:rsid w:val="00AB0D41"/>
    <w:rsid w:val="00AB1A42"/>
    <w:rsid w:val="00AB2E3A"/>
    <w:rsid w:val="00AB4855"/>
    <w:rsid w:val="00AB6EC2"/>
    <w:rsid w:val="00AC23B4"/>
    <w:rsid w:val="00AC3324"/>
    <w:rsid w:val="00AC4E49"/>
    <w:rsid w:val="00AC5EBE"/>
    <w:rsid w:val="00AD15E8"/>
    <w:rsid w:val="00AD4C97"/>
    <w:rsid w:val="00AD5CB7"/>
    <w:rsid w:val="00AD6078"/>
    <w:rsid w:val="00AE0DB4"/>
    <w:rsid w:val="00AE2221"/>
    <w:rsid w:val="00AE27FE"/>
    <w:rsid w:val="00AE45D9"/>
    <w:rsid w:val="00AF12CE"/>
    <w:rsid w:val="00AF3F58"/>
    <w:rsid w:val="00AF72FC"/>
    <w:rsid w:val="00B00101"/>
    <w:rsid w:val="00B01FF3"/>
    <w:rsid w:val="00B02B82"/>
    <w:rsid w:val="00B04C00"/>
    <w:rsid w:val="00B1028D"/>
    <w:rsid w:val="00B108AE"/>
    <w:rsid w:val="00B10929"/>
    <w:rsid w:val="00B123E0"/>
    <w:rsid w:val="00B12C45"/>
    <w:rsid w:val="00B13C18"/>
    <w:rsid w:val="00B14495"/>
    <w:rsid w:val="00B14870"/>
    <w:rsid w:val="00B16016"/>
    <w:rsid w:val="00B17B90"/>
    <w:rsid w:val="00B215F2"/>
    <w:rsid w:val="00B21FDB"/>
    <w:rsid w:val="00B236DD"/>
    <w:rsid w:val="00B24D0A"/>
    <w:rsid w:val="00B25986"/>
    <w:rsid w:val="00B31CCF"/>
    <w:rsid w:val="00B325C7"/>
    <w:rsid w:val="00B32696"/>
    <w:rsid w:val="00B339EF"/>
    <w:rsid w:val="00B37DE3"/>
    <w:rsid w:val="00B423B8"/>
    <w:rsid w:val="00B426D8"/>
    <w:rsid w:val="00B42CE7"/>
    <w:rsid w:val="00B517AC"/>
    <w:rsid w:val="00B52BDC"/>
    <w:rsid w:val="00B5583B"/>
    <w:rsid w:val="00B57046"/>
    <w:rsid w:val="00B60A10"/>
    <w:rsid w:val="00B66E3B"/>
    <w:rsid w:val="00B70F65"/>
    <w:rsid w:val="00B726DD"/>
    <w:rsid w:val="00B74A02"/>
    <w:rsid w:val="00B756F6"/>
    <w:rsid w:val="00B80926"/>
    <w:rsid w:val="00B828B9"/>
    <w:rsid w:val="00B85575"/>
    <w:rsid w:val="00B91E31"/>
    <w:rsid w:val="00B95CEB"/>
    <w:rsid w:val="00B97A1B"/>
    <w:rsid w:val="00BA0B2A"/>
    <w:rsid w:val="00BA5D66"/>
    <w:rsid w:val="00BA6FEE"/>
    <w:rsid w:val="00BB10A7"/>
    <w:rsid w:val="00BB20C1"/>
    <w:rsid w:val="00BB293C"/>
    <w:rsid w:val="00BB4112"/>
    <w:rsid w:val="00BB41B7"/>
    <w:rsid w:val="00BB587A"/>
    <w:rsid w:val="00BB620C"/>
    <w:rsid w:val="00BB64F6"/>
    <w:rsid w:val="00BB6788"/>
    <w:rsid w:val="00BB71AE"/>
    <w:rsid w:val="00BB7973"/>
    <w:rsid w:val="00BC3E70"/>
    <w:rsid w:val="00BC4857"/>
    <w:rsid w:val="00BC6874"/>
    <w:rsid w:val="00BC6A5E"/>
    <w:rsid w:val="00BD03D8"/>
    <w:rsid w:val="00BD11CE"/>
    <w:rsid w:val="00BD11E4"/>
    <w:rsid w:val="00BD2263"/>
    <w:rsid w:val="00BD4171"/>
    <w:rsid w:val="00BD444D"/>
    <w:rsid w:val="00BD5450"/>
    <w:rsid w:val="00BD5E6E"/>
    <w:rsid w:val="00BD63B6"/>
    <w:rsid w:val="00BD6938"/>
    <w:rsid w:val="00BD6C2A"/>
    <w:rsid w:val="00BE1AE5"/>
    <w:rsid w:val="00BE1F6B"/>
    <w:rsid w:val="00BE237F"/>
    <w:rsid w:val="00BE2DD8"/>
    <w:rsid w:val="00BE2EE0"/>
    <w:rsid w:val="00BE59E6"/>
    <w:rsid w:val="00BE6965"/>
    <w:rsid w:val="00BE77EA"/>
    <w:rsid w:val="00BF3C92"/>
    <w:rsid w:val="00BF505E"/>
    <w:rsid w:val="00BF730C"/>
    <w:rsid w:val="00BF76EA"/>
    <w:rsid w:val="00BF79C8"/>
    <w:rsid w:val="00C012AC"/>
    <w:rsid w:val="00C020AF"/>
    <w:rsid w:val="00C03482"/>
    <w:rsid w:val="00C054EA"/>
    <w:rsid w:val="00C0588D"/>
    <w:rsid w:val="00C101E6"/>
    <w:rsid w:val="00C16511"/>
    <w:rsid w:val="00C165BF"/>
    <w:rsid w:val="00C16990"/>
    <w:rsid w:val="00C17078"/>
    <w:rsid w:val="00C17EBE"/>
    <w:rsid w:val="00C232DC"/>
    <w:rsid w:val="00C24F0B"/>
    <w:rsid w:val="00C2584D"/>
    <w:rsid w:val="00C27378"/>
    <w:rsid w:val="00C27C41"/>
    <w:rsid w:val="00C31F85"/>
    <w:rsid w:val="00C34220"/>
    <w:rsid w:val="00C34EB7"/>
    <w:rsid w:val="00C35876"/>
    <w:rsid w:val="00C364E3"/>
    <w:rsid w:val="00C36AD3"/>
    <w:rsid w:val="00C379BB"/>
    <w:rsid w:val="00C413EB"/>
    <w:rsid w:val="00C41D7A"/>
    <w:rsid w:val="00C42C08"/>
    <w:rsid w:val="00C46731"/>
    <w:rsid w:val="00C50222"/>
    <w:rsid w:val="00C538A4"/>
    <w:rsid w:val="00C600DE"/>
    <w:rsid w:val="00C61110"/>
    <w:rsid w:val="00C7175A"/>
    <w:rsid w:val="00C71E93"/>
    <w:rsid w:val="00C72D1B"/>
    <w:rsid w:val="00C72F98"/>
    <w:rsid w:val="00C759F7"/>
    <w:rsid w:val="00C762F3"/>
    <w:rsid w:val="00C76990"/>
    <w:rsid w:val="00C8039A"/>
    <w:rsid w:val="00C82099"/>
    <w:rsid w:val="00C82EF2"/>
    <w:rsid w:val="00C834FD"/>
    <w:rsid w:val="00C83BD8"/>
    <w:rsid w:val="00C85F6C"/>
    <w:rsid w:val="00C860EC"/>
    <w:rsid w:val="00C909D5"/>
    <w:rsid w:val="00C964BC"/>
    <w:rsid w:val="00C96B79"/>
    <w:rsid w:val="00C96E6B"/>
    <w:rsid w:val="00C977A1"/>
    <w:rsid w:val="00C97C77"/>
    <w:rsid w:val="00CA180F"/>
    <w:rsid w:val="00CA1A1F"/>
    <w:rsid w:val="00CA3671"/>
    <w:rsid w:val="00CA661A"/>
    <w:rsid w:val="00CA7381"/>
    <w:rsid w:val="00CB372E"/>
    <w:rsid w:val="00CB416C"/>
    <w:rsid w:val="00CB478D"/>
    <w:rsid w:val="00CB5BB4"/>
    <w:rsid w:val="00CB6325"/>
    <w:rsid w:val="00CB6950"/>
    <w:rsid w:val="00CC18E2"/>
    <w:rsid w:val="00CC2D75"/>
    <w:rsid w:val="00CC3B2F"/>
    <w:rsid w:val="00CC5999"/>
    <w:rsid w:val="00CC702E"/>
    <w:rsid w:val="00CD10B7"/>
    <w:rsid w:val="00CD122F"/>
    <w:rsid w:val="00CD3782"/>
    <w:rsid w:val="00CD3C0A"/>
    <w:rsid w:val="00CD52DF"/>
    <w:rsid w:val="00CD745A"/>
    <w:rsid w:val="00CE21CE"/>
    <w:rsid w:val="00CE3C2B"/>
    <w:rsid w:val="00CE7B98"/>
    <w:rsid w:val="00CF1121"/>
    <w:rsid w:val="00CF1E92"/>
    <w:rsid w:val="00CF2256"/>
    <w:rsid w:val="00CF375C"/>
    <w:rsid w:val="00CF4231"/>
    <w:rsid w:val="00CF6A4D"/>
    <w:rsid w:val="00CF7B0D"/>
    <w:rsid w:val="00D03075"/>
    <w:rsid w:val="00D059E4"/>
    <w:rsid w:val="00D063A8"/>
    <w:rsid w:val="00D11983"/>
    <w:rsid w:val="00D14046"/>
    <w:rsid w:val="00D1554F"/>
    <w:rsid w:val="00D16B45"/>
    <w:rsid w:val="00D20EAF"/>
    <w:rsid w:val="00D21047"/>
    <w:rsid w:val="00D25DBB"/>
    <w:rsid w:val="00D27462"/>
    <w:rsid w:val="00D335A8"/>
    <w:rsid w:val="00D35811"/>
    <w:rsid w:val="00D35E15"/>
    <w:rsid w:val="00D36784"/>
    <w:rsid w:val="00D36ED2"/>
    <w:rsid w:val="00D3703C"/>
    <w:rsid w:val="00D37DA1"/>
    <w:rsid w:val="00D41EB7"/>
    <w:rsid w:val="00D42811"/>
    <w:rsid w:val="00D42D86"/>
    <w:rsid w:val="00D435B0"/>
    <w:rsid w:val="00D45184"/>
    <w:rsid w:val="00D45EE6"/>
    <w:rsid w:val="00D5349E"/>
    <w:rsid w:val="00D5591F"/>
    <w:rsid w:val="00D6459D"/>
    <w:rsid w:val="00D66C05"/>
    <w:rsid w:val="00D723D1"/>
    <w:rsid w:val="00D72816"/>
    <w:rsid w:val="00D72931"/>
    <w:rsid w:val="00D737B8"/>
    <w:rsid w:val="00D74A89"/>
    <w:rsid w:val="00D8057E"/>
    <w:rsid w:val="00D8165C"/>
    <w:rsid w:val="00D82541"/>
    <w:rsid w:val="00D83964"/>
    <w:rsid w:val="00D86EF7"/>
    <w:rsid w:val="00D87752"/>
    <w:rsid w:val="00D908E7"/>
    <w:rsid w:val="00D9234A"/>
    <w:rsid w:val="00D92958"/>
    <w:rsid w:val="00D934C2"/>
    <w:rsid w:val="00D93508"/>
    <w:rsid w:val="00D942C5"/>
    <w:rsid w:val="00D948D8"/>
    <w:rsid w:val="00DA2403"/>
    <w:rsid w:val="00DA2C9F"/>
    <w:rsid w:val="00DA2E5E"/>
    <w:rsid w:val="00DA3144"/>
    <w:rsid w:val="00DA6505"/>
    <w:rsid w:val="00DB103D"/>
    <w:rsid w:val="00DB1F75"/>
    <w:rsid w:val="00DB2D72"/>
    <w:rsid w:val="00DB540D"/>
    <w:rsid w:val="00DB5C31"/>
    <w:rsid w:val="00DC1460"/>
    <w:rsid w:val="00DC158E"/>
    <w:rsid w:val="00DC26AD"/>
    <w:rsid w:val="00DC562D"/>
    <w:rsid w:val="00DC5DA8"/>
    <w:rsid w:val="00DC5FEF"/>
    <w:rsid w:val="00DC60E2"/>
    <w:rsid w:val="00DD0078"/>
    <w:rsid w:val="00DD2208"/>
    <w:rsid w:val="00DD56FF"/>
    <w:rsid w:val="00DD69AB"/>
    <w:rsid w:val="00DD7D36"/>
    <w:rsid w:val="00DE027F"/>
    <w:rsid w:val="00DE0767"/>
    <w:rsid w:val="00DE0BDE"/>
    <w:rsid w:val="00DE13FE"/>
    <w:rsid w:val="00DE19BB"/>
    <w:rsid w:val="00DE3309"/>
    <w:rsid w:val="00DE578C"/>
    <w:rsid w:val="00DE59DB"/>
    <w:rsid w:val="00DE5FFD"/>
    <w:rsid w:val="00DE737C"/>
    <w:rsid w:val="00DF0E69"/>
    <w:rsid w:val="00DF10CD"/>
    <w:rsid w:val="00DF14D0"/>
    <w:rsid w:val="00DF3922"/>
    <w:rsid w:val="00DF39EF"/>
    <w:rsid w:val="00E00C9C"/>
    <w:rsid w:val="00E00E40"/>
    <w:rsid w:val="00E06116"/>
    <w:rsid w:val="00E06A63"/>
    <w:rsid w:val="00E07320"/>
    <w:rsid w:val="00E1422B"/>
    <w:rsid w:val="00E14909"/>
    <w:rsid w:val="00E14EE4"/>
    <w:rsid w:val="00E16644"/>
    <w:rsid w:val="00E21E40"/>
    <w:rsid w:val="00E2365E"/>
    <w:rsid w:val="00E2381F"/>
    <w:rsid w:val="00E25055"/>
    <w:rsid w:val="00E26219"/>
    <w:rsid w:val="00E35830"/>
    <w:rsid w:val="00E365F8"/>
    <w:rsid w:val="00E369BA"/>
    <w:rsid w:val="00E36B28"/>
    <w:rsid w:val="00E36F81"/>
    <w:rsid w:val="00E436C6"/>
    <w:rsid w:val="00E46258"/>
    <w:rsid w:val="00E4680A"/>
    <w:rsid w:val="00E53579"/>
    <w:rsid w:val="00E53D00"/>
    <w:rsid w:val="00E56161"/>
    <w:rsid w:val="00E571E7"/>
    <w:rsid w:val="00E576B9"/>
    <w:rsid w:val="00E61AD6"/>
    <w:rsid w:val="00E62591"/>
    <w:rsid w:val="00E63612"/>
    <w:rsid w:val="00E67D88"/>
    <w:rsid w:val="00E710AE"/>
    <w:rsid w:val="00E710BA"/>
    <w:rsid w:val="00E7317F"/>
    <w:rsid w:val="00E73B28"/>
    <w:rsid w:val="00E73C53"/>
    <w:rsid w:val="00E743C2"/>
    <w:rsid w:val="00E77B19"/>
    <w:rsid w:val="00E77F97"/>
    <w:rsid w:val="00E80DBF"/>
    <w:rsid w:val="00E81DD1"/>
    <w:rsid w:val="00E820B4"/>
    <w:rsid w:val="00E82BA0"/>
    <w:rsid w:val="00E8408A"/>
    <w:rsid w:val="00E85503"/>
    <w:rsid w:val="00E868C3"/>
    <w:rsid w:val="00E93F22"/>
    <w:rsid w:val="00E9457C"/>
    <w:rsid w:val="00E948EB"/>
    <w:rsid w:val="00E954EF"/>
    <w:rsid w:val="00E95974"/>
    <w:rsid w:val="00E97A98"/>
    <w:rsid w:val="00EA1C44"/>
    <w:rsid w:val="00EA2449"/>
    <w:rsid w:val="00EA455B"/>
    <w:rsid w:val="00EA6921"/>
    <w:rsid w:val="00EB0214"/>
    <w:rsid w:val="00EB0BCF"/>
    <w:rsid w:val="00EB0C7C"/>
    <w:rsid w:val="00EB13D5"/>
    <w:rsid w:val="00EB1682"/>
    <w:rsid w:val="00EB1D30"/>
    <w:rsid w:val="00EB550C"/>
    <w:rsid w:val="00EC09CB"/>
    <w:rsid w:val="00EC66E9"/>
    <w:rsid w:val="00ED02DF"/>
    <w:rsid w:val="00ED09BF"/>
    <w:rsid w:val="00ED1E43"/>
    <w:rsid w:val="00ED5088"/>
    <w:rsid w:val="00ED693C"/>
    <w:rsid w:val="00EE3988"/>
    <w:rsid w:val="00EE5AC4"/>
    <w:rsid w:val="00EF162D"/>
    <w:rsid w:val="00EF1769"/>
    <w:rsid w:val="00EF2A45"/>
    <w:rsid w:val="00EF4BC7"/>
    <w:rsid w:val="00EF55D9"/>
    <w:rsid w:val="00EF5CD3"/>
    <w:rsid w:val="00EF66A9"/>
    <w:rsid w:val="00EF7122"/>
    <w:rsid w:val="00F02164"/>
    <w:rsid w:val="00F03B8B"/>
    <w:rsid w:val="00F04CDB"/>
    <w:rsid w:val="00F04F5F"/>
    <w:rsid w:val="00F075A6"/>
    <w:rsid w:val="00F07AB7"/>
    <w:rsid w:val="00F108F8"/>
    <w:rsid w:val="00F11D03"/>
    <w:rsid w:val="00F124F8"/>
    <w:rsid w:val="00F12A16"/>
    <w:rsid w:val="00F14270"/>
    <w:rsid w:val="00F206A7"/>
    <w:rsid w:val="00F256CD"/>
    <w:rsid w:val="00F31820"/>
    <w:rsid w:val="00F31DE1"/>
    <w:rsid w:val="00F31EAC"/>
    <w:rsid w:val="00F34470"/>
    <w:rsid w:val="00F3628C"/>
    <w:rsid w:val="00F40389"/>
    <w:rsid w:val="00F40600"/>
    <w:rsid w:val="00F4111E"/>
    <w:rsid w:val="00F4119F"/>
    <w:rsid w:val="00F41684"/>
    <w:rsid w:val="00F41DCF"/>
    <w:rsid w:val="00F43AD4"/>
    <w:rsid w:val="00F469FF"/>
    <w:rsid w:val="00F46FC3"/>
    <w:rsid w:val="00F473C2"/>
    <w:rsid w:val="00F51133"/>
    <w:rsid w:val="00F51544"/>
    <w:rsid w:val="00F51B74"/>
    <w:rsid w:val="00F5445A"/>
    <w:rsid w:val="00F5515C"/>
    <w:rsid w:val="00F55E2B"/>
    <w:rsid w:val="00F56313"/>
    <w:rsid w:val="00F57368"/>
    <w:rsid w:val="00F624DD"/>
    <w:rsid w:val="00F62E8B"/>
    <w:rsid w:val="00F6376A"/>
    <w:rsid w:val="00F648B0"/>
    <w:rsid w:val="00F65FAF"/>
    <w:rsid w:val="00F66269"/>
    <w:rsid w:val="00F7054E"/>
    <w:rsid w:val="00F7284F"/>
    <w:rsid w:val="00F72C4F"/>
    <w:rsid w:val="00F734BA"/>
    <w:rsid w:val="00F74809"/>
    <w:rsid w:val="00F75504"/>
    <w:rsid w:val="00F765D9"/>
    <w:rsid w:val="00F7795F"/>
    <w:rsid w:val="00F81F3F"/>
    <w:rsid w:val="00F837E6"/>
    <w:rsid w:val="00F83D58"/>
    <w:rsid w:val="00F83EB2"/>
    <w:rsid w:val="00F84BBC"/>
    <w:rsid w:val="00F85FC5"/>
    <w:rsid w:val="00F861EF"/>
    <w:rsid w:val="00F87D80"/>
    <w:rsid w:val="00F906B3"/>
    <w:rsid w:val="00F9376F"/>
    <w:rsid w:val="00F961B4"/>
    <w:rsid w:val="00FA00B1"/>
    <w:rsid w:val="00FA0168"/>
    <w:rsid w:val="00FA35BA"/>
    <w:rsid w:val="00FA4226"/>
    <w:rsid w:val="00FA5C62"/>
    <w:rsid w:val="00FA6E2D"/>
    <w:rsid w:val="00FA6FC5"/>
    <w:rsid w:val="00FB2C09"/>
    <w:rsid w:val="00FB47A1"/>
    <w:rsid w:val="00FC0033"/>
    <w:rsid w:val="00FC113C"/>
    <w:rsid w:val="00FC1666"/>
    <w:rsid w:val="00FC4832"/>
    <w:rsid w:val="00FC62DB"/>
    <w:rsid w:val="00FC633E"/>
    <w:rsid w:val="00FC6BBE"/>
    <w:rsid w:val="00FD0DD6"/>
    <w:rsid w:val="00FD1D52"/>
    <w:rsid w:val="00FD1FF2"/>
    <w:rsid w:val="00FE0CFF"/>
    <w:rsid w:val="00FE10EF"/>
    <w:rsid w:val="00FE26D8"/>
    <w:rsid w:val="00FE36C7"/>
    <w:rsid w:val="00FE3E95"/>
    <w:rsid w:val="00FE6F94"/>
    <w:rsid w:val="00FF1691"/>
    <w:rsid w:val="00FF211D"/>
    <w:rsid w:val="00FF4C68"/>
    <w:rsid w:val="00FF512F"/>
    <w:rsid w:val="00FF7844"/>
    <w:rsid w:val="02A18830"/>
    <w:rsid w:val="03630417"/>
    <w:rsid w:val="03ABF705"/>
    <w:rsid w:val="04169520"/>
    <w:rsid w:val="044C8AB7"/>
    <w:rsid w:val="055949B1"/>
    <w:rsid w:val="06AAAEDE"/>
    <w:rsid w:val="08700A02"/>
    <w:rsid w:val="08ECCA87"/>
    <w:rsid w:val="093ACAA8"/>
    <w:rsid w:val="0A1D53B5"/>
    <w:rsid w:val="0A67DA9F"/>
    <w:rsid w:val="0ADCE4CF"/>
    <w:rsid w:val="0B9327B9"/>
    <w:rsid w:val="0E88EBF3"/>
    <w:rsid w:val="0ED1F9BD"/>
    <w:rsid w:val="0F3B4128"/>
    <w:rsid w:val="10AE95DA"/>
    <w:rsid w:val="10DCDD4A"/>
    <w:rsid w:val="11AD58ED"/>
    <w:rsid w:val="12836166"/>
    <w:rsid w:val="12B192CE"/>
    <w:rsid w:val="13E83F29"/>
    <w:rsid w:val="14107348"/>
    <w:rsid w:val="142DE832"/>
    <w:rsid w:val="148B5DF3"/>
    <w:rsid w:val="1588F96F"/>
    <w:rsid w:val="164DE791"/>
    <w:rsid w:val="17669FDE"/>
    <w:rsid w:val="176E6431"/>
    <w:rsid w:val="17708F01"/>
    <w:rsid w:val="17A61BBB"/>
    <w:rsid w:val="17A6DC58"/>
    <w:rsid w:val="19083C18"/>
    <w:rsid w:val="1989792F"/>
    <w:rsid w:val="198AF15E"/>
    <w:rsid w:val="1B3E13E7"/>
    <w:rsid w:val="1B4CD694"/>
    <w:rsid w:val="1BC79F8B"/>
    <w:rsid w:val="1BCFB505"/>
    <w:rsid w:val="1C161021"/>
    <w:rsid w:val="1CFE4AD9"/>
    <w:rsid w:val="1D32126B"/>
    <w:rsid w:val="1F44AC4A"/>
    <w:rsid w:val="1FC6683B"/>
    <w:rsid w:val="200EA984"/>
    <w:rsid w:val="207EDABF"/>
    <w:rsid w:val="22E18D4F"/>
    <w:rsid w:val="22E9975D"/>
    <w:rsid w:val="23B99BB4"/>
    <w:rsid w:val="24380567"/>
    <w:rsid w:val="24A91C7A"/>
    <w:rsid w:val="24AAA93D"/>
    <w:rsid w:val="2502D208"/>
    <w:rsid w:val="262FD526"/>
    <w:rsid w:val="266827BA"/>
    <w:rsid w:val="26A810EF"/>
    <w:rsid w:val="26FCA703"/>
    <w:rsid w:val="27081283"/>
    <w:rsid w:val="287C7AF5"/>
    <w:rsid w:val="28BBC001"/>
    <w:rsid w:val="29480D90"/>
    <w:rsid w:val="2963DBE1"/>
    <w:rsid w:val="29B77F5A"/>
    <w:rsid w:val="29C1203A"/>
    <w:rsid w:val="2CBD1600"/>
    <w:rsid w:val="2E8C45FC"/>
    <w:rsid w:val="2F100A57"/>
    <w:rsid w:val="3058367A"/>
    <w:rsid w:val="31C3783C"/>
    <w:rsid w:val="337D244B"/>
    <w:rsid w:val="337DC106"/>
    <w:rsid w:val="34E85937"/>
    <w:rsid w:val="358CE175"/>
    <w:rsid w:val="372B6F2F"/>
    <w:rsid w:val="3738EA8D"/>
    <w:rsid w:val="37FBC7B2"/>
    <w:rsid w:val="38337BA7"/>
    <w:rsid w:val="39173C38"/>
    <w:rsid w:val="393992B3"/>
    <w:rsid w:val="3979240A"/>
    <w:rsid w:val="39BB1543"/>
    <w:rsid w:val="39D2DCD8"/>
    <w:rsid w:val="3ACAA7D7"/>
    <w:rsid w:val="3AE49C7D"/>
    <w:rsid w:val="3B005488"/>
    <w:rsid w:val="3B1E7CF8"/>
    <w:rsid w:val="3B7446AE"/>
    <w:rsid w:val="3B7D7E9F"/>
    <w:rsid w:val="3D04FB55"/>
    <w:rsid w:val="3DC7FD90"/>
    <w:rsid w:val="3E8645EE"/>
    <w:rsid w:val="3E9FE557"/>
    <w:rsid w:val="3EB5638B"/>
    <w:rsid w:val="3FE28C2E"/>
    <w:rsid w:val="40E798A4"/>
    <w:rsid w:val="42C4A5B4"/>
    <w:rsid w:val="43F233CF"/>
    <w:rsid w:val="446730D1"/>
    <w:rsid w:val="44831F03"/>
    <w:rsid w:val="4581863F"/>
    <w:rsid w:val="47770559"/>
    <w:rsid w:val="47B72A7B"/>
    <w:rsid w:val="483C2270"/>
    <w:rsid w:val="48D50423"/>
    <w:rsid w:val="48E01095"/>
    <w:rsid w:val="497AA598"/>
    <w:rsid w:val="49CA5A33"/>
    <w:rsid w:val="4A363FD3"/>
    <w:rsid w:val="4AC0F922"/>
    <w:rsid w:val="4BB7814C"/>
    <w:rsid w:val="4CC01797"/>
    <w:rsid w:val="4D6A3751"/>
    <w:rsid w:val="4D791901"/>
    <w:rsid w:val="4E224CB3"/>
    <w:rsid w:val="4F969FA4"/>
    <w:rsid w:val="4FAE60BB"/>
    <w:rsid w:val="519C3A44"/>
    <w:rsid w:val="5260DD02"/>
    <w:rsid w:val="52B633C8"/>
    <w:rsid w:val="52BB19C1"/>
    <w:rsid w:val="54938A84"/>
    <w:rsid w:val="559C9D4E"/>
    <w:rsid w:val="57B4CA54"/>
    <w:rsid w:val="5864A428"/>
    <w:rsid w:val="58C9B3C7"/>
    <w:rsid w:val="58E42DF2"/>
    <w:rsid w:val="58EECC77"/>
    <w:rsid w:val="593C8A28"/>
    <w:rsid w:val="59724016"/>
    <w:rsid w:val="5A44EF94"/>
    <w:rsid w:val="5A724A55"/>
    <w:rsid w:val="5A9A2FC5"/>
    <w:rsid w:val="5C7C928C"/>
    <w:rsid w:val="5EA154D2"/>
    <w:rsid w:val="5FCAD648"/>
    <w:rsid w:val="60B1EC69"/>
    <w:rsid w:val="613D8215"/>
    <w:rsid w:val="61573DFA"/>
    <w:rsid w:val="616343C0"/>
    <w:rsid w:val="61DF5D1C"/>
    <w:rsid w:val="63375347"/>
    <w:rsid w:val="6396D518"/>
    <w:rsid w:val="63B51203"/>
    <w:rsid w:val="643471D3"/>
    <w:rsid w:val="647D7D2F"/>
    <w:rsid w:val="64D5544C"/>
    <w:rsid w:val="651AF3C7"/>
    <w:rsid w:val="66BC4E2B"/>
    <w:rsid w:val="67B874DB"/>
    <w:rsid w:val="68DBB556"/>
    <w:rsid w:val="690EE5F3"/>
    <w:rsid w:val="6947DE7D"/>
    <w:rsid w:val="6A257CC0"/>
    <w:rsid w:val="6ACCED1D"/>
    <w:rsid w:val="6BAECF26"/>
    <w:rsid w:val="6BC7DA45"/>
    <w:rsid w:val="6CB9CC21"/>
    <w:rsid w:val="6D0042E7"/>
    <w:rsid w:val="6DD9BE39"/>
    <w:rsid w:val="6E060F26"/>
    <w:rsid w:val="6E277126"/>
    <w:rsid w:val="6E6A50D3"/>
    <w:rsid w:val="711498A5"/>
    <w:rsid w:val="712FF015"/>
    <w:rsid w:val="73783CB8"/>
    <w:rsid w:val="73DC2B3D"/>
    <w:rsid w:val="74E2A49D"/>
    <w:rsid w:val="7679A75B"/>
    <w:rsid w:val="76833831"/>
    <w:rsid w:val="783B72C5"/>
    <w:rsid w:val="789AEDF8"/>
    <w:rsid w:val="7AF826C7"/>
    <w:rsid w:val="7B42841A"/>
    <w:rsid w:val="7C20A98C"/>
    <w:rsid w:val="7C318637"/>
    <w:rsid w:val="7DB79B01"/>
    <w:rsid w:val="7E0341F0"/>
    <w:rsid w:val="7E53A315"/>
    <w:rsid w:val="7E5B5D29"/>
    <w:rsid w:val="7E88BF2D"/>
    <w:rsid w:val="7E93A01A"/>
    <w:rsid w:val="7EAAFC98"/>
    <w:rsid w:val="7F56CAA0"/>
    <w:rsid w:val="7F7D827D"/>
    <w:rsid w:val="7F8C788F"/>
    <w:rsid w:val="7F9FC768"/>
    <w:rsid w:val="7FD0F6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7E8BF"/>
  <w15:docId w15:val="{B3D82D8A-CC9F-43CA-B66F-529F60C8E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293"/>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94D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DA0"/>
    <w:rPr>
      <w:rFonts w:ascii="Segoe UI" w:hAnsi="Segoe UI" w:cs="Segoe UI"/>
      <w:sz w:val="18"/>
      <w:szCs w:val="18"/>
    </w:rPr>
  </w:style>
  <w:style w:type="paragraph" w:styleId="FootnoteText">
    <w:name w:val="footnote text"/>
    <w:basedOn w:val="Normal"/>
    <w:link w:val="FootnoteTextChar"/>
    <w:uiPriority w:val="99"/>
    <w:semiHidden/>
    <w:unhideWhenUsed/>
    <w:rsid w:val="00A94DA0"/>
    <w:rPr>
      <w:sz w:val="20"/>
      <w:szCs w:val="20"/>
    </w:rPr>
  </w:style>
  <w:style w:type="character" w:customStyle="1" w:styleId="FootnoteTextChar">
    <w:name w:val="Footnote Text Char"/>
    <w:basedOn w:val="DefaultParagraphFont"/>
    <w:link w:val="FootnoteText"/>
    <w:uiPriority w:val="99"/>
    <w:semiHidden/>
    <w:rsid w:val="00A94DA0"/>
    <w:rPr>
      <w:sz w:val="20"/>
      <w:szCs w:val="20"/>
    </w:rPr>
  </w:style>
  <w:style w:type="character" w:styleId="FootnoteReference">
    <w:name w:val="footnote reference"/>
    <w:basedOn w:val="DefaultParagraphFont"/>
    <w:uiPriority w:val="99"/>
    <w:semiHidden/>
    <w:unhideWhenUsed/>
    <w:rsid w:val="00A94DA0"/>
    <w:rPr>
      <w:vertAlign w:val="superscript"/>
    </w:rPr>
  </w:style>
  <w:style w:type="character" w:styleId="Hyperlink">
    <w:name w:val="Hyperlink"/>
    <w:basedOn w:val="DefaultParagraphFont"/>
    <w:uiPriority w:val="99"/>
    <w:unhideWhenUsed/>
    <w:rsid w:val="00A94DA0"/>
    <w:rPr>
      <w:color w:val="0000FF"/>
      <w:u w:val="single"/>
    </w:rPr>
  </w:style>
  <w:style w:type="character" w:styleId="UnresolvedMention">
    <w:name w:val="Unresolved Mention"/>
    <w:basedOn w:val="DefaultParagraphFont"/>
    <w:uiPriority w:val="99"/>
    <w:semiHidden/>
    <w:unhideWhenUsed/>
    <w:rsid w:val="00890D3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90D36"/>
    <w:rPr>
      <w:b/>
      <w:bCs/>
    </w:rPr>
  </w:style>
  <w:style w:type="character" w:customStyle="1" w:styleId="CommentSubjectChar">
    <w:name w:val="Comment Subject Char"/>
    <w:basedOn w:val="CommentTextChar"/>
    <w:link w:val="CommentSubject"/>
    <w:uiPriority w:val="99"/>
    <w:semiHidden/>
    <w:rsid w:val="00890D36"/>
    <w:rPr>
      <w:b/>
      <w:bCs/>
      <w:sz w:val="20"/>
      <w:szCs w:val="20"/>
    </w:rPr>
  </w:style>
  <w:style w:type="paragraph" w:styleId="ListParagraph">
    <w:name w:val="List Paragraph"/>
    <w:basedOn w:val="Normal"/>
    <w:uiPriority w:val="34"/>
    <w:qFormat/>
    <w:rsid w:val="00395B55"/>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39"/>
    <w:rsid w:val="00975E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75EBE"/>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8F6653"/>
    <w:rPr>
      <w:color w:val="800080" w:themeColor="followedHyperlink"/>
      <w:u w:val="single"/>
    </w:rPr>
  </w:style>
  <w:style w:type="paragraph" w:styleId="EndnoteText">
    <w:name w:val="endnote text"/>
    <w:basedOn w:val="Normal"/>
    <w:link w:val="EndnoteTextChar"/>
    <w:uiPriority w:val="99"/>
    <w:unhideWhenUsed/>
    <w:rsid w:val="00962E9D"/>
    <w:rPr>
      <w:sz w:val="20"/>
      <w:szCs w:val="20"/>
    </w:rPr>
  </w:style>
  <w:style w:type="character" w:customStyle="1" w:styleId="EndnoteTextChar">
    <w:name w:val="Endnote Text Char"/>
    <w:basedOn w:val="DefaultParagraphFont"/>
    <w:link w:val="EndnoteText"/>
    <w:uiPriority w:val="99"/>
    <w:rsid w:val="00962E9D"/>
    <w:rPr>
      <w:sz w:val="20"/>
      <w:szCs w:val="20"/>
    </w:rPr>
  </w:style>
  <w:style w:type="character" w:styleId="EndnoteReference">
    <w:name w:val="endnote reference"/>
    <w:basedOn w:val="DefaultParagraphFont"/>
    <w:uiPriority w:val="99"/>
    <w:semiHidden/>
    <w:unhideWhenUsed/>
    <w:rsid w:val="00962E9D"/>
    <w:rPr>
      <w:vertAlign w:val="superscript"/>
    </w:rPr>
  </w:style>
  <w:style w:type="table" w:styleId="GridTable1Light-Accent1">
    <w:name w:val="Grid Table 1 Light Accent 1"/>
    <w:basedOn w:val="TableNormal"/>
    <w:uiPriority w:val="46"/>
    <w:rsid w:val="0027629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F7054E"/>
    <w:pPr>
      <w:spacing w:before="100" w:beforeAutospacing="1" w:after="100" w:afterAutospacing="1"/>
    </w:pPr>
    <w:rPr>
      <w:rFonts w:ascii="Calibri" w:eastAsiaTheme="minorHAnsi" w:hAnsi="Calibri" w:cs="Calibri"/>
      <w:sz w:val="22"/>
      <w:szCs w:val="22"/>
    </w:rPr>
  </w:style>
  <w:style w:type="character" w:customStyle="1" w:styleId="textrun">
    <w:name w:val="textrun"/>
    <w:basedOn w:val="DefaultParagraphFont"/>
    <w:rsid w:val="00F7054E"/>
  </w:style>
  <w:style w:type="character" w:customStyle="1" w:styleId="normaltextrun">
    <w:name w:val="normaltextrun"/>
    <w:basedOn w:val="DefaultParagraphFont"/>
    <w:rsid w:val="00F7054E"/>
  </w:style>
  <w:style w:type="character" w:customStyle="1" w:styleId="eop">
    <w:name w:val="eop"/>
    <w:basedOn w:val="DefaultParagraphFont"/>
    <w:rsid w:val="00F7054E"/>
  </w:style>
  <w:style w:type="paragraph" w:styleId="TOCHeading">
    <w:name w:val="TOC Heading"/>
    <w:basedOn w:val="Heading1"/>
    <w:next w:val="Normal"/>
    <w:uiPriority w:val="39"/>
    <w:unhideWhenUsed/>
    <w:qFormat/>
    <w:rsid w:val="004B43F5"/>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4B43F5"/>
    <w:pPr>
      <w:spacing w:after="100"/>
    </w:pPr>
  </w:style>
  <w:style w:type="paragraph" w:styleId="TOC2">
    <w:name w:val="toc 2"/>
    <w:basedOn w:val="Normal"/>
    <w:next w:val="Normal"/>
    <w:autoRedefine/>
    <w:uiPriority w:val="39"/>
    <w:unhideWhenUsed/>
    <w:rsid w:val="004B43F5"/>
    <w:pPr>
      <w:spacing w:after="100"/>
      <w:ind w:left="240"/>
    </w:pPr>
  </w:style>
  <w:style w:type="paragraph" w:styleId="Header">
    <w:name w:val="header"/>
    <w:basedOn w:val="Normal"/>
    <w:link w:val="HeaderChar"/>
    <w:uiPriority w:val="99"/>
    <w:unhideWhenUsed/>
    <w:rsid w:val="00C2584D"/>
    <w:pPr>
      <w:tabs>
        <w:tab w:val="center" w:pos="4680"/>
        <w:tab w:val="right" w:pos="9360"/>
      </w:tabs>
    </w:pPr>
  </w:style>
  <w:style w:type="character" w:customStyle="1" w:styleId="HeaderChar">
    <w:name w:val="Header Char"/>
    <w:basedOn w:val="DefaultParagraphFont"/>
    <w:link w:val="Header"/>
    <w:uiPriority w:val="99"/>
    <w:rsid w:val="00C2584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2584D"/>
    <w:pPr>
      <w:tabs>
        <w:tab w:val="center" w:pos="4680"/>
        <w:tab w:val="right" w:pos="9360"/>
      </w:tabs>
    </w:pPr>
  </w:style>
  <w:style w:type="character" w:customStyle="1" w:styleId="FooterChar">
    <w:name w:val="Footer Char"/>
    <w:basedOn w:val="DefaultParagraphFont"/>
    <w:link w:val="Footer"/>
    <w:uiPriority w:val="99"/>
    <w:rsid w:val="00C2584D"/>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4C7B75"/>
    <w:pPr>
      <w:spacing w:after="100"/>
      <w:ind w:left="480"/>
    </w:pPr>
  </w:style>
  <w:style w:type="character" w:styleId="Strong">
    <w:name w:val="Strong"/>
    <w:basedOn w:val="DefaultParagraphFont"/>
    <w:uiPriority w:val="22"/>
    <w:qFormat/>
    <w:rsid w:val="000767B2"/>
    <w:rPr>
      <w:b/>
      <w:bCs/>
    </w:rPr>
  </w:style>
  <w:style w:type="character" w:styleId="Emphasis">
    <w:name w:val="Emphasis"/>
    <w:basedOn w:val="DefaultParagraphFont"/>
    <w:uiPriority w:val="20"/>
    <w:qFormat/>
    <w:rsid w:val="000767B2"/>
    <w:rPr>
      <w:i/>
      <w:iCs/>
    </w:rPr>
  </w:style>
  <w:style w:type="character" w:styleId="SubtleEmphasis">
    <w:name w:val="Subtle Emphasis"/>
    <w:basedOn w:val="DefaultParagraphFont"/>
    <w:uiPriority w:val="19"/>
    <w:qFormat/>
    <w:rsid w:val="000767B2"/>
    <w:rPr>
      <w:i/>
      <w:iCs/>
      <w:color w:val="404040" w:themeColor="text1" w:themeTint="BF"/>
    </w:rPr>
  </w:style>
  <w:style w:type="paragraph" w:customStyle="1" w:styleId="Figures">
    <w:name w:val="Figures"/>
    <w:basedOn w:val="Normal"/>
    <w:link w:val="FiguresChar"/>
    <w:qFormat/>
    <w:rsid w:val="00A82125"/>
    <w:pPr>
      <w:spacing w:before="240" w:after="240"/>
    </w:pPr>
    <w:rPr>
      <w:b/>
    </w:rPr>
  </w:style>
  <w:style w:type="paragraph" w:styleId="Quote">
    <w:name w:val="Quote"/>
    <w:basedOn w:val="Normal"/>
    <w:next w:val="Normal"/>
    <w:link w:val="QuoteChar"/>
    <w:uiPriority w:val="29"/>
    <w:qFormat/>
    <w:rsid w:val="00A82125"/>
    <w:pPr>
      <w:spacing w:before="200" w:after="160"/>
      <w:ind w:left="864" w:right="864"/>
      <w:jc w:val="center"/>
    </w:pPr>
    <w:rPr>
      <w:i/>
      <w:iCs/>
      <w:color w:val="404040" w:themeColor="text1" w:themeTint="BF"/>
    </w:rPr>
  </w:style>
  <w:style w:type="character" w:customStyle="1" w:styleId="FiguresChar">
    <w:name w:val="Figures Char"/>
    <w:basedOn w:val="DefaultParagraphFont"/>
    <w:link w:val="Figures"/>
    <w:rsid w:val="00A82125"/>
    <w:rPr>
      <w:rFonts w:ascii="Times New Roman" w:eastAsia="Times New Roman" w:hAnsi="Times New Roman" w:cs="Times New Roman"/>
      <w:b/>
      <w:sz w:val="24"/>
      <w:szCs w:val="24"/>
      <w:lang w:val="en-US"/>
    </w:rPr>
  </w:style>
  <w:style w:type="character" w:customStyle="1" w:styleId="QuoteChar">
    <w:name w:val="Quote Char"/>
    <w:basedOn w:val="DefaultParagraphFont"/>
    <w:link w:val="Quote"/>
    <w:uiPriority w:val="29"/>
    <w:rsid w:val="00A82125"/>
    <w:rPr>
      <w:rFonts w:ascii="Times New Roman" w:eastAsia="Times New Roman" w:hAnsi="Times New Roman" w:cs="Times New Roman"/>
      <w:i/>
      <w:iCs/>
      <w:color w:val="404040" w:themeColor="text1" w:themeTint="BF"/>
      <w:sz w:val="24"/>
      <w:szCs w:val="24"/>
      <w:lang w:val="en-US"/>
    </w:rPr>
  </w:style>
  <w:style w:type="paragraph" w:styleId="TableofFigures">
    <w:name w:val="table of figures"/>
    <w:basedOn w:val="Normal"/>
    <w:next w:val="Normal"/>
    <w:uiPriority w:val="99"/>
    <w:unhideWhenUsed/>
    <w:rsid w:val="00A82125"/>
  </w:style>
  <w:style w:type="paragraph" w:customStyle="1" w:styleId="Tables">
    <w:name w:val="Tables"/>
    <w:basedOn w:val="Normal"/>
    <w:link w:val="TablesChar"/>
    <w:qFormat/>
    <w:rsid w:val="009603B7"/>
    <w:pPr>
      <w:spacing w:line="276" w:lineRule="auto"/>
    </w:pPr>
    <w:rPr>
      <w:b/>
    </w:rPr>
  </w:style>
  <w:style w:type="character" w:customStyle="1" w:styleId="TablesChar">
    <w:name w:val="Tables Char"/>
    <w:basedOn w:val="DefaultParagraphFont"/>
    <w:link w:val="Tables"/>
    <w:rsid w:val="009603B7"/>
    <w:rPr>
      <w:rFonts w:ascii="Times New Roman" w:eastAsia="Times New Roman" w:hAnsi="Times New Roman" w:cs="Times New Roman"/>
      <w:b/>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21871">
      <w:bodyDiv w:val="1"/>
      <w:marLeft w:val="0"/>
      <w:marRight w:val="0"/>
      <w:marTop w:val="0"/>
      <w:marBottom w:val="0"/>
      <w:divBdr>
        <w:top w:val="none" w:sz="0" w:space="0" w:color="auto"/>
        <w:left w:val="none" w:sz="0" w:space="0" w:color="auto"/>
        <w:bottom w:val="none" w:sz="0" w:space="0" w:color="auto"/>
        <w:right w:val="none" w:sz="0" w:space="0" w:color="auto"/>
      </w:divBdr>
    </w:div>
    <w:div w:id="43411197">
      <w:bodyDiv w:val="1"/>
      <w:marLeft w:val="0"/>
      <w:marRight w:val="0"/>
      <w:marTop w:val="0"/>
      <w:marBottom w:val="0"/>
      <w:divBdr>
        <w:top w:val="none" w:sz="0" w:space="0" w:color="auto"/>
        <w:left w:val="none" w:sz="0" w:space="0" w:color="auto"/>
        <w:bottom w:val="none" w:sz="0" w:space="0" w:color="auto"/>
        <w:right w:val="none" w:sz="0" w:space="0" w:color="auto"/>
      </w:divBdr>
    </w:div>
    <w:div w:id="160387725">
      <w:bodyDiv w:val="1"/>
      <w:marLeft w:val="0"/>
      <w:marRight w:val="0"/>
      <w:marTop w:val="0"/>
      <w:marBottom w:val="0"/>
      <w:divBdr>
        <w:top w:val="none" w:sz="0" w:space="0" w:color="auto"/>
        <w:left w:val="none" w:sz="0" w:space="0" w:color="auto"/>
        <w:bottom w:val="none" w:sz="0" w:space="0" w:color="auto"/>
        <w:right w:val="none" w:sz="0" w:space="0" w:color="auto"/>
      </w:divBdr>
    </w:div>
    <w:div w:id="175853187">
      <w:bodyDiv w:val="1"/>
      <w:marLeft w:val="0"/>
      <w:marRight w:val="0"/>
      <w:marTop w:val="0"/>
      <w:marBottom w:val="0"/>
      <w:divBdr>
        <w:top w:val="none" w:sz="0" w:space="0" w:color="auto"/>
        <w:left w:val="none" w:sz="0" w:space="0" w:color="auto"/>
        <w:bottom w:val="none" w:sz="0" w:space="0" w:color="auto"/>
        <w:right w:val="none" w:sz="0" w:space="0" w:color="auto"/>
      </w:divBdr>
    </w:div>
    <w:div w:id="226110250">
      <w:bodyDiv w:val="1"/>
      <w:marLeft w:val="0"/>
      <w:marRight w:val="0"/>
      <w:marTop w:val="0"/>
      <w:marBottom w:val="0"/>
      <w:divBdr>
        <w:top w:val="none" w:sz="0" w:space="0" w:color="auto"/>
        <w:left w:val="none" w:sz="0" w:space="0" w:color="auto"/>
        <w:bottom w:val="none" w:sz="0" w:space="0" w:color="auto"/>
        <w:right w:val="none" w:sz="0" w:space="0" w:color="auto"/>
      </w:divBdr>
    </w:div>
    <w:div w:id="268973645">
      <w:bodyDiv w:val="1"/>
      <w:marLeft w:val="0"/>
      <w:marRight w:val="0"/>
      <w:marTop w:val="0"/>
      <w:marBottom w:val="0"/>
      <w:divBdr>
        <w:top w:val="none" w:sz="0" w:space="0" w:color="auto"/>
        <w:left w:val="none" w:sz="0" w:space="0" w:color="auto"/>
        <w:bottom w:val="none" w:sz="0" w:space="0" w:color="auto"/>
        <w:right w:val="none" w:sz="0" w:space="0" w:color="auto"/>
      </w:divBdr>
    </w:div>
    <w:div w:id="283997628">
      <w:bodyDiv w:val="1"/>
      <w:marLeft w:val="0"/>
      <w:marRight w:val="0"/>
      <w:marTop w:val="0"/>
      <w:marBottom w:val="0"/>
      <w:divBdr>
        <w:top w:val="none" w:sz="0" w:space="0" w:color="auto"/>
        <w:left w:val="none" w:sz="0" w:space="0" w:color="auto"/>
        <w:bottom w:val="none" w:sz="0" w:space="0" w:color="auto"/>
        <w:right w:val="none" w:sz="0" w:space="0" w:color="auto"/>
      </w:divBdr>
    </w:div>
    <w:div w:id="308486405">
      <w:bodyDiv w:val="1"/>
      <w:marLeft w:val="0"/>
      <w:marRight w:val="0"/>
      <w:marTop w:val="0"/>
      <w:marBottom w:val="0"/>
      <w:divBdr>
        <w:top w:val="none" w:sz="0" w:space="0" w:color="auto"/>
        <w:left w:val="none" w:sz="0" w:space="0" w:color="auto"/>
        <w:bottom w:val="none" w:sz="0" w:space="0" w:color="auto"/>
        <w:right w:val="none" w:sz="0" w:space="0" w:color="auto"/>
      </w:divBdr>
    </w:div>
    <w:div w:id="312560709">
      <w:bodyDiv w:val="1"/>
      <w:marLeft w:val="0"/>
      <w:marRight w:val="0"/>
      <w:marTop w:val="0"/>
      <w:marBottom w:val="0"/>
      <w:divBdr>
        <w:top w:val="none" w:sz="0" w:space="0" w:color="auto"/>
        <w:left w:val="none" w:sz="0" w:space="0" w:color="auto"/>
        <w:bottom w:val="none" w:sz="0" w:space="0" w:color="auto"/>
        <w:right w:val="none" w:sz="0" w:space="0" w:color="auto"/>
      </w:divBdr>
    </w:div>
    <w:div w:id="398210609">
      <w:bodyDiv w:val="1"/>
      <w:marLeft w:val="0"/>
      <w:marRight w:val="0"/>
      <w:marTop w:val="0"/>
      <w:marBottom w:val="0"/>
      <w:divBdr>
        <w:top w:val="none" w:sz="0" w:space="0" w:color="auto"/>
        <w:left w:val="none" w:sz="0" w:space="0" w:color="auto"/>
        <w:bottom w:val="none" w:sz="0" w:space="0" w:color="auto"/>
        <w:right w:val="none" w:sz="0" w:space="0" w:color="auto"/>
      </w:divBdr>
      <w:divsChild>
        <w:div w:id="325548413">
          <w:marLeft w:val="547"/>
          <w:marRight w:val="0"/>
          <w:marTop w:val="0"/>
          <w:marBottom w:val="0"/>
          <w:divBdr>
            <w:top w:val="none" w:sz="0" w:space="0" w:color="auto"/>
            <w:left w:val="none" w:sz="0" w:space="0" w:color="auto"/>
            <w:bottom w:val="none" w:sz="0" w:space="0" w:color="auto"/>
            <w:right w:val="none" w:sz="0" w:space="0" w:color="auto"/>
          </w:divBdr>
        </w:div>
        <w:div w:id="1668247574">
          <w:marLeft w:val="547"/>
          <w:marRight w:val="0"/>
          <w:marTop w:val="0"/>
          <w:marBottom w:val="0"/>
          <w:divBdr>
            <w:top w:val="none" w:sz="0" w:space="0" w:color="auto"/>
            <w:left w:val="none" w:sz="0" w:space="0" w:color="auto"/>
            <w:bottom w:val="none" w:sz="0" w:space="0" w:color="auto"/>
            <w:right w:val="none" w:sz="0" w:space="0" w:color="auto"/>
          </w:divBdr>
        </w:div>
      </w:divsChild>
    </w:div>
    <w:div w:id="548498590">
      <w:bodyDiv w:val="1"/>
      <w:marLeft w:val="0"/>
      <w:marRight w:val="0"/>
      <w:marTop w:val="0"/>
      <w:marBottom w:val="0"/>
      <w:divBdr>
        <w:top w:val="none" w:sz="0" w:space="0" w:color="auto"/>
        <w:left w:val="none" w:sz="0" w:space="0" w:color="auto"/>
        <w:bottom w:val="none" w:sz="0" w:space="0" w:color="auto"/>
        <w:right w:val="none" w:sz="0" w:space="0" w:color="auto"/>
      </w:divBdr>
    </w:div>
    <w:div w:id="564028200">
      <w:bodyDiv w:val="1"/>
      <w:marLeft w:val="0"/>
      <w:marRight w:val="0"/>
      <w:marTop w:val="0"/>
      <w:marBottom w:val="0"/>
      <w:divBdr>
        <w:top w:val="none" w:sz="0" w:space="0" w:color="auto"/>
        <w:left w:val="none" w:sz="0" w:space="0" w:color="auto"/>
        <w:bottom w:val="none" w:sz="0" w:space="0" w:color="auto"/>
        <w:right w:val="none" w:sz="0" w:space="0" w:color="auto"/>
      </w:divBdr>
    </w:div>
    <w:div w:id="729772695">
      <w:bodyDiv w:val="1"/>
      <w:marLeft w:val="0"/>
      <w:marRight w:val="0"/>
      <w:marTop w:val="0"/>
      <w:marBottom w:val="0"/>
      <w:divBdr>
        <w:top w:val="none" w:sz="0" w:space="0" w:color="auto"/>
        <w:left w:val="none" w:sz="0" w:space="0" w:color="auto"/>
        <w:bottom w:val="none" w:sz="0" w:space="0" w:color="auto"/>
        <w:right w:val="none" w:sz="0" w:space="0" w:color="auto"/>
      </w:divBdr>
    </w:div>
    <w:div w:id="867987803">
      <w:bodyDiv w:val="1"/>
      <w:marLeft w:val="0"/>
      <w:marRight w:val="0"/>
      <w:marTop w:val="0"/>
      <w:marBottom w:val="0"/>
      <w:divBdr>
        <w:top w:val="none" w:sz="0" w:space="0" w:color="auto"/>
        <w:left w:val="none" w:sz="0" w:space="0" w:color="auto"/>
        <w:bottom w:val="none" w:sz="0" w:space="0" w:color="auto"/>
        <w:right w:val="none" w:sz="0" w:space="0" w:color="auto"/>
      </w:divBdr>
    </w:div>
    <w:div w:id="942154093">
      <w:bodyDiv w:val="1"/>
      <w:marLeft w:val="0"/>
      <w:marRight w:val="0"/>
      <w:marTop w:val="0"/>
      <w:marBottom w:val="0"/>
      <w:divBdr>
        <w:top w:val="none" w:sz="0" w:space="0" w:color="auto"/>
        <w:left w:val="none" w:sz="0" w:space="0" w:color="auto"/>
        <w:bottom w:val="none" w:sz="0" w:space="0" w:color="auto"/>
        <w:right w:val="none" w:sz="0" w:space="0" w:color="auto"/>
      </w:divBdr>
    </w:div>
    <w:div w:id="992373030">
      <w:bodyDiv w:val="1"/>
      <w:marLeft w:val="0"/>
      <w:marRight w:val="0"/>
      <w:marTop w:val="0"/>
      <w:marBottom w:val="0"/>
      <w:divBdr>
        <w:top w:val="none" w:sz="0" w:space="0" w:color="auto"/>
        <w:left w:val="none" w:sz="0" w:space="0" w:color="auto"/>
        <w:bottom w:val="none" w:sz="0" w:space="0" w:color="auto"/>
        <w:right w:val="none" w:sz="0" w:space="0" w:color="auto"/>
      </w:divBdr>
    </w:div>
    <w:div w:id="1018309833">
      <w:bodyDiv w:val="1"/>
      <w:marLeft w:val="0"/>
      <w:marRight w:val="0"/>
      <w:marTop w:val="0"/>
      <w:marBottom w:val="0"/>
      <w:divBdr>
        <w:top w:val="none" w:sz="0" w:space="0" w:color="auto"/>
        <w:left w:val="none" w:sz="0" w:space="0" w:color="auto"/>
        <w:bottom w:val="none" w:sz="0" w:space="0" w:color="auto"/>
        <w:right w:val="none" w:sz="0" w:space="0" w:color="auto"/>
      </w:divBdr>
    </w:div>
    <w:div w:id="1097364705">
      <w:bodyDiv w:val="1"/>
      <w:marLeft w:val="0"/>
      <w:marRight w:val="0"/>
      <w:marTop w:val="0"/>
      <w:marBottom w:val="0"/>
      <w:divBdr>
        <w:top w:val="none" w:sz="0" w:space="0" w:color="auto"/>
        <w:left w:val="none" w:sz="0" w:space="0" w:color="auto"/>
        <w:bottom w:val="none" w:sz="0" w:space="0" w:color="auto"/>
        <w:right w:val="none" w:sz="0" w:space="0" w:color="auto"/>
      </w:divBdr>
    </w:div>
    <w:div w:id="1152139566">
      <w:bodyDiv w:val="1"/>
      <w:marLeft w:val="0"/>
      <w:marRight w:val="0"/>
      <w:marTop w:val="0"/>
      <w:marBottom w:val="0"/>
      <w:divBdr>
        <w:top w:val="none" w:sz="0" w:space="0" w:color="auto"/>
        <w:left w:val="none" w:sz="0" w:space="0" w:color="auto"/>
        <w:bottom w:val="none" w:sz="0" w:space="0" w:color="auto"/>
        <w:right w:val="none" w:sz="0" w:space="0" w:color="auto"/>
      </w:divBdr>
    </w:div>
    <w:div w:id="1179930254">
      <w:bodyDiv w:val="1"/>
      <w:marLeft w:val="0"/>
      <w:marRight w:val="0"/>
      <w:marTop w:val="0"/>
      <w:marBottom w:val="0"/>
      <w:divBdr>
        <w:top w:val="none" w:sz="0" w:space="0" w:color="auto"/>
        <w:left w:val="none" w:sz="0" w:space="0" w:color="auto"/>
        <w:bottom w:val="none" w:sz="0" w:space="0" w:color="auto"/>
        <w:right w:val="none" w:sz="0" w:space="0" w:color="auto"/>
      </w:divBdr>
    </w:div>
    <w:div w:id="1232692559">
      <w:bodyDiv w:val="1"/>
      <w:marLeft w:val="0"/>
      <w:marRight w:val="0"/>
      <w:marTop w:val="0"/>
      <w:marBottom w:val="0"/>
      <w:divBdr>
        <w:top w:val="none" w:sz="0" w:space="0" w:color="auto"/>
        <w:left w:val="none" w:sz="0" w:space="0" w:color="auto"/>
        <w:bottom w:val="none" w:sz="0" w:space="0" w:color="auto"/>
        <w:right w:val="none" w:sz="0" w:space="0" w:color="auto"/>
      </w:divBdr>
    </w:div>
    <w:div w:id="1499272709">
      <w:bodyDiv w:val="1"/>
      <w:marLeft w:val="0"/>
      <w:marRight w:val="0"/>
      <w:marTop w:val="0"/>
      <w:marBottom w:val="0"/>
      <w:divBdr>
        <w:top w:val="none" w:sz="0" w:space="0" w:color="auto"/>
        <w:left w:val="none" w:sz="0" w:space="0" w:color="auto"/>
        <w:bottom w:val="none" w:sz="0" w:space="0" w:color="auto"/>
        <w:right w:val="none" w:sz="0" w:space="0" w:color="auto"/>
      </w:divBdr>
    </w:div>
    <w:div w:id="1536846833">
      <w:bodyDiv w:val="1"/>
      <w:marLeft w:val="0"/>
      <w:marRight w:val="0"/>
      <w:marTop w:val="0"/>
      <w:marBottom w:val="0"/>
      <w:divBdr>
        <w:top w:val="none" w:sz="0" w:space="0" w:color="auto"/>
        <w:left w:val="none" w:sz="0" w:space="0" w:color="auto"/>
        <w:bottom w:val="none" w:sz="0" w:space="0" w:color="auto"/>
        <w:right w:val="none" w:sz="0" w:space="0" w:color="auto"/>
      </w:divBdr>
    </w:div>
    <w:div w:id="1682509722">
      <w:bodyDiv w:val="1"/>
      <w:marLeft w:val="0"/>
      <w:marRight w:val="0"/>
      <w:marTop w:val="0"/>
      <w:marBottom w:val="0"/>
      <w:divBdr>
        <w:top w:val="none" w:sz="0" w:space="0" w:color="auto"/>
        <w:left w:val="none" w:sz="0" w:space="0" w:color="auto"/>
        <w:bottom w:val="none" w:sz="0" w:space="0" w:color="auto"/>
        <w:right w:val="none" w:sz="0" w:space="0" w:color="auto"/>
      </w:divBdr>
    </w:div>
    <w:div w:id="1729373610">
      <w:bodyDiv w:val="1"/>
      <w:marLeft w:val="0"/>
      <w:marRight w:val="0"/>
      <w:marTop w:val="0"/>
      <w:marBottom w:val="0"/>
      <w:divBdr>
        <w:top w:val="none" w:sz="0" w:space="0" w:color="auto"/>
        <w:left w:val="none" w:sz="0" w:space="0" w:color="auto"/>
        <w:bottom w:val="none" w:sz="0" w:space="0" w:color="auto"/>
        <w:right w:val="none" w:sz="0" w:space="0" w:color="auto"/>
      </w:divBdr>
    </w:div>
    <w:div w:id="1815946519">
      <w:bodyDiv w:val="1"/>
      <w:marLeft w:val="0"/>
      <w:marRight w:val="0"/>
      <w:marTop w:val="0"/>
      <w:marBottom w:val="0"/>
      <w:divBdr>
        <w:top w:val="none" w:sz="0" w:space="0" w:color="auto"/>
        <w:left w:val="none" w:sz="0" w:space="0" w:color="auto"/>
        <w:bottom w:val="none" w:sz="0" w:space="0" w:color="auto"/>
        <w:right w:val="none" w:sz="0" w:space="0" w:color="auto"/>
      </w:divBdr>
    </w:div>
    <w:div w:id="1902934642">
      <w:bodyDiv w:val="1"/>
      <w:marLeft w:val="0"/>
      <w:marRight w:val="0"/>
      <w:marTop w:val="0"/>
      <w:marBottom w:val="0"/>
      <w:divBdr>
        <w:top w:val="none" w:sz="0" w:space="0" w:color="auto"/>
        <w:left w:val="none" w:sz="0" w:space="0" w:color="auto"/>
        <w:bottom w:val="none" w:sz="0" w:space="0" w:color="auto"/>
        <w:right w:val="none" w:sz="0" w:space="0" w:color="auto"/>
      </w:divBdr>
    </w:div>
    <w:div w:id="1975670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theicct.org/sites/default/files/publications/Zero%20Emission%20Vehicle%20Mandate%20Briefing%20v2.pdf" TargetMode="External"/><Relationship Id="rId21" Type="http://schemas.openxmlformats.org/officeDocument/2006/relationships/image" Target="media/image11.png"/><Relationship Id="rId42" Type="http://schemas.openxmlformats.org/officeDocument/2006/relationships/hyperlink" Target="https://tfl.gov.uk/modes/driving/ultra-low-emission-zone/ulez-where-and-when" TargetMode="External"/><Relationship Id="rId47" Type="http://schemas.openxmlformats.org/officeDocument/2006/relationships/hyperlink" Target="https://urbanaccessregulations.eu/countries-mainmenu-147/norway-mainmenu-197/oslo" TargetMode="External"/><Relationship Id="rId63" Type="http://schemas.openxmlformats.org/officeDocument/2006/relationships/hyperlink" Target="https://ww2.arb.ca.gov/our-work/programs/commercial-harbor-craft" TargetMode="External"/><Relationship Id="rId68" Type="http://schemas.openxmlformats.org/officeDocument/2006/relationships/hyperlink" Target="https://ww2.arb.ca.gov/our-work/programs/zero-emission-vehicle-program" TargetMode="External"/><Relationship Id="rId84" Type="http://schemas.openxmlformats.org/officeDocument/2006/relationships/hyperlink" Target="https://www.canada.ca/en/environment-climate-change/services/managing-pollution/energy-production/fuel-regulations/clean-fuel-standard.html" TargetMode="External"/><Relationship Id="rId89" Type="http://schemas.openxmlformats.org/officeDocument/2006/relationships/hyperlink" Target="https://www.fjellinjen.no/private/news-archive/congestion-charge-and-environmental-differentiation-rates-in-oslo-article979-967.html" TargetMode="External"/><Relationship Id="rId112" Type="http://schemas.openxmlformats.org/officeDocument/2006/relationships/hyperlink" Target="https://rmi.org/shenzhen-a-city-miles-ahead/" TargetMode="External"/><Relationship Id="rId133"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hyperlink" Target="https://www.pge.com/en_US/small-medium-business/energy-alternatives/clean-vehicles/ev-charge-network/electric-vehicle-rate-plans.page" TargetMode="External"/><Relationship Id="rId11" Type="http://schemas.openxmlformats.org/officeDocument/2006/relationships/image" Target="media/image1.png"/><Relationship Id="rId32" Type="http://schemas.openxmlformats.org/officeDocument/2006/relationships/diagramColors" Target="diagrams/colors1.xml"/><Relationship Id="rId37" Type="http://schemas.openxmlformats.org/officeDocument/2006/relationships/hyperlink" Target="https://www.c40.org/other/green-and-healthy-streets" TargetMode="External"/><Relationship Id="rId53" Type="http://schemas.openxmlformats.org/officeDocument/2006/relationships/hyperlink" Target="https://afdc.energy.gov/data/widgets/10309" TargetMode="External"/><Relationship Id="rId58" Type="http://schemas.openxmlformats.org/officeDocument/2006/relationships/hyperlink" Target="https://en.byd.com/truck/" TargetMode="External"/><Relationship Id="rId74" Type="http://schemas.openxmlformats.org/officeDocument/2006/relationships/hyperlink" Target="https://calstart.org/libraries-publications-i-710_tech_challenges_opps_report-sflb-ashx/" TargetMode="External"/><Relationship Id="rId79" Type="http://schemas.openxmlformats.org/officeDocument/2006/relationships/hyperlink" Target="https://www.cbc.ca/news/canada/british-columbia/b-c-introduces-law-to-require-cars-trucks-sold-by-2040-be-zero-emission-1.5093110" TargetMode="External"/><Relationship Id="rId102" Type="http://schemas.openxmlformats.org/officeDocument/2006/relationships/hyperlink" Target="https://www.nyserda.ny.gov/-/media/Files/Publications/Research/Other-Technical-Reports/building-fire-safety-codes-hydrogen-tech-app.pdf" TargetMode="External"/><Relationship Id="rId123" Type="http://schemas.openxmlformats.org/officeDocument/2006/relationships/hyperlink" Target="https://www.transportenvironment.org/publications/comparing-hydrogen-and-battery-electric-trucks" TargetMode="External"/><Relationship Id="rId128" Type="http://schemas.openxmlformats.org/officeDocument/2006/relationships/hyperlink" Target="https://pressroom.ups.com/pressroom/ContentDetailsViewer.page?ConceptType=PressReleases&amp;id=1580304360144-453" TargetMode="External"/><Relationship Id="rId5" Type="http://schemas.openxmlformats.org/officeDocument/2006/relationships/numbering" Target="numbering.xml"/><Relationship Id="rId90" Type="http://schemas.openxmlformats.org/officeDocument/2006/relationships/hyperlink" Target="https://www.forbes.com/sites/alanohnsman/2020/07/10/rivian-snags-25-billion-from-t-rowe-price-amazon-to-take-on-tesla-in-electric-trucks/" TargetMode="External"/><Relationship Id="rId95" Type="http://schemas.openxmlformats.org/officeDocument/2006/relationships/hyperlink" Target="https://www.iea.org/reports/the-future-of-truck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diagramLayout" Target="diagrams/layout1.xml"/><Relationship Id="rId35" Type="http://schemas.openxmlformats.org/officeDocument/2006/relationships/hyperlink" Target="https://globaldrivetozero.org/resources/zero-emission-technology-inventory/" TargetMode="External"/><Relationship Id="rId43" Type="http://schemas.openxmlformats.org/officeDocument/2006/relationships/hyperlink" Target="http://www.cleanairactionplan.org/documents/clean-trucks-program-tariff-change-fact-sheet-sept-2018.pdf/" TargetMode="External"/><Relationship Id="rId48" Type="http://schemas.openxmlformats.org/officeDocument/2006/relationships/hyperlink" Target="https://www.greentechmedia.com/articles/read/how-internal-combustion-engines-will-die-out-in-eurasia" TargetMode="External"/><Relationship Id="rId56" Type="http://schemas.openxmlformats.org/officeDocument/2006/relationships/hyperlink" Target="https://www.bloomberg.com/press-releases/2019-09-26/jetblue-introduces-the-largest-electric-ground-service-equipment-egse-fleet-at-new-york-s-jfk-international-airport-cutting" TargetMode="External"/><Relationship Id="rId64" Type="http://schemas.openxmlformats.org/officeDocument/2006/relationships/hyperlink" Target="https://www.californiahvip.org/how-to-participate/" TargetMode="External"/><Relationship Id="rId69" Type="http://schemas.openxmlformats.org/officeDocument/2006/relationships/hyperlink" Target="https://ww2.arb.ca.gov/our-work/programs/hydrogen-fueling-infrastructure/about" TargetMode="External"/><Relationship Id="rId77" Type="http://schemas.openxmlformats.org/officeDocument/2006/relationships/hyperlink" Target="https://calstart.org/wp-content/uploads/2020/09/CALSTART_VIP_White_Paper.pdf" TargetMode="External"/><Relationship Id="rId100" Type="http://schemas.openxmlformats.org/officeDocument/2006/relationships/hyperlink" Target="https://www.nescaum.org/documents/multistate-truck-zev-governors-mou-20200714.pdf" TargetMode="External"/><Relationship Id="rId105" Type="http://schemas.openxmlformats.org/officeDocument/2006/relationships/hyperlink" Target="http://www.nyc.gov/html/dot/downloads/pdf/trafrule.pdf" TargetMode="External"/><Relationship Id="rId113" Type="http://schemas.openxmlformats.org/officeDocument/2006/relationships/hyperlink" Target="https://cleanairactionplan.org/documents/final-drayage-truck-feasibility-assessment.pdf/" TargetMode="External"/><Relationship Id="rId118" Type="http://schemas.openxmlformats.org/officeDocument/2006/relationships/hyperlink" Target="https://theicct.org/sites/default/files/Market-Segmentation-and-Duty-Cycles_Rodriguez_ICCT.pdf" TargetMode="External"/><Relationship Id="rId126" Type="http://schemas.openxmlformats.org/officeDocument/2006/relationships/hyperlink" Target="https://archive.epa.gov/sectors/web/pdf/emission_20050519.pdf" TargetMode="External"/><Relationship Id="rId8" Type="http://schemas.openxmlformats.org/officeDocument/2006/relationships/webSettings" Target="webSettings.xml"/><Relationship Id="rId51" Type="http://schemas.openxmlformats.org/officeDocument/2006/relationships/hyperlink" Target="https://www.cpuc.ca.gov/WorkArea/DownloadAsset.aspx?id=6442457607" TargetMode="External"/><Relationship Id="rId72" Type="http://schemas.openxmlformats.org/officeDocument/2006/relationships/hyperlink" Target="https://www.cpuc.ca.gov/sb350te/" TargetMode="External"/><Relationship Id="rId80" Type="http://schemas.openxmlformats.org/officeDocument/2006/relationships/hyperlink" Target="https://www.ceres.org/corporate-electric-vehicle-alliance" TargetMode="External"/><Relationship Id="rId85" Type="http://schemas.openxmlformats.org/officeDocument/2006/relationships/hyperlink" Target="https://www.eafo.eu/knowledge-center/european-vehicle-categories" TargetMode="External"/><Relationship Id="rId93" Type="http://schemas.openxmlformats.org/officeDocument/2006/relationships/hyperlink" Target="https://www.greentechmedia.com/articles/read/how-internal-combustion-engines-will-die-out-in-eurasia" TargetMode="External"/><Relationship Id="rId98" Type="http://schemas.openxmlformats.org/officeDocument/2006/relationships/hyperlink" Target="https://www.mckinsey.com/industries/automotive-and-assembly/our-insights/fast-transit-why-urban-e-buses-lead-electric-vehicle-growth" TargetMode="External"/><Relationship Id="rId121" Type="http://schemas.openxmlformats.org/officeDocument/2006/relationships/hyperlink" Target="https://thelionelectric.com/en/products/electric_truck_class8"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microsoft.com/office/2007/relationships/diagramDrawing" Target="diagrams/drawing1.xml"/><Relationship Id="rId38" Type="http://schemas.openxmlformats.org/officeDocument/2006/relationships/hyperlink" Target="http://toolkit.globaldrivetozero.org/" TargetMode="External"/><Relationship Id="rId46" Type="http://schemas.openxmlformats.org/officeDocument/2006/relationships/hyperlink" Target="https://www.nyserda.ny.gov/-/media/Files/Publications/Research/Transportation/New-York-City-Green-Loading-Zones-Study.pdf" TargetMode="External"/><Relationship Id="rId59" Type="http://schemas.openxmlformats.org/officeDocument/2006/relationships/hyperlink" Target="https://theicct.org/sites/default/files/BYD%20EV%20SEDEMA.pdf" TargetMode="External"/><Relationship Id="rId67" Type="http://schemas.openxmlformats.org/officeDocument/2006/relationships/hyperlink" Target="https://ww2.arb.ca.gov/our-work/programs/advanced-clean-trucks" TargetMode="External"/><Relationship Id="rId103" Type="http://schemas.openxmlformats.org/officeDocument/2006/relationships/hyperlink" Target="https://www.nyserda.ny.gov/All%20Programs/Programs/Truck%20Voucher%20Program" TargetMode="External"/><Relationship Id="rId108" Type="http://schemas.openxmlformats.org/officeDocument/2006/relationships/hyperlink" Target="https://www.popularmechanics.com/technology/infrastructure/a28748306/worlds-largest-electric-vehicle-dump-truck/" TargetMode="External"/><Relationship Id="rId116" Type="http://schemas.openxmlformats.org/officeDocument/2006/relationships/hyperlink" Target="https://theicct.org/sites/default/files/publications/ICCT_EV_surge_US_cities_20190610.pdf" TargetMode="External"/><Relationship Id="rId124" Type="http://schemas.openxmlformats.org/officeDocument/2006/relationships/hyperlink" Target="https://tfl.gov.uk/modes/driving/ultra-low-emission-zone/ulez-where-and-when" TargetMode="External"/><Relationship Id="rId129" Type="http://schemas.openxmlformats.org/officeDocument/2006/relationships/hyperlink" Target="https://urbanaccessregulations.eu/countries-mainmenu-147/norway-mainmenu-197/oslo" TargetMode="External"/><Relationship Id="rId20" Type="http://schemas.openxmlformats.org/officeDocument/2006/relationships/image" Target="media/image10.png"/><Relationship Id="rId41" Type="http://schemas.openxmlformats.org/officeDocument/2006/relationships/hyperlink" Target="https://www.nyserda.ny.gov/All%20Programs/Programs/Truck%20Voucher%20Program" TargetMode="External"/><Relationship Id="rId54" Type="http://schemas.openxmlformats.org/officeDocument/2006/relationships/hyperlink" Target="https://afdc.energy.gov/data/10380" TargetMode="External"/><Relationship Id="rId62" Type="http://schemas.openxmlformats.org/officeDocument/2006/relationships/hyperlink" Target="https://ww2.arb.ca.gov/sites/default/files/2019-09/fy1920fundingplan-appd.pdf" TargetMode="External"/><Relationship Id="rId70" Type="http://schemas.openxmlformats.org/officeDocument/2006/relationships/hyperlink" Target="https://dot.ca.gov/programs/traffic-operations/legal-truck-access/ex-zero-emission-vehicle" TargetMode="External"/><Relationship Id="rId75" Type="http://schemas.openxmlformats.org/officeDocument/2006/relationships/hyperlink" Target="https://calstart.org/wp-content/uploads/2018/10/Electric-Truck-and-Bus-Grid-Integration_-Opportunities-Challenges-and-Recommendations.pdf" TargetMode="External"/><Relationship Id="rId83" Type="http://schemas.openxmlformats.org/officeDocument/2006/relationships/hyperlink" Target="https://ec.gc.ca/lcpe-cepa/default.asp?lang=En&amp;n=71EF09D7-1&amp;offset=3" TargetMode="External"/><Relationship Id="rId88" Type="http://schemas.openxmlformats.org/officeDocument/2006/relationships/hyperlink" Target="https://www.theclimategroup.org/project/ev100" TargetMode="External"/><Relationship Id="rId91" Type="http://schemas.openxmlformats.org/officeDocument/2006/relationships/hyperlink" Target="https://globaldrivetozero.org/2020/02/13/biggest-us-cities-aim-to-drive-to-zero/" TargetMode="External"/><Relationship Id="rId96" Type="http://schemas.openxmlformats.org/officeDocument/2006/relationships/hyperlink" Target="https://www.iea.org/reports/global-ev-outlook-2020" TargetMode="External"/><Relationship Id="rId111" Type="http://schemas.openxmlformats.org/officeDocument/2006/relationships/hyperlink" Target="https://www.reuters.com/article/hyundai-switzerland-hydrogen-trucks/hyundai-delivers-first-fuel-cell-trucks-to-switzerland-idINKBN26S1FM"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png"/><Relationship Id="rId49" Type="http://schemas.openxmlformats.org/officeDocument/2006/relationships/hyperlink" Target="https://www.cbc.ca/news/canada/british-columbia/b-c-introduces-law-to-require-cars-trucks-sold-by-2040-be-zero-emission-1.5093110" TargetMode="External"/><Relationship Id="rId57" Type="http://schemas.openxmlformats.org/officeDocument/2006/relationships/hyperlink" Target="https://www.bloomberg.com/news/articles/2019-02-27/in-beijing-you-have-to-win-a-license-lottery-to-buy-a-new-car" TargetMode="External"/><Relationship Id="rId106" Type="http://schemas.openxmlformats.org/officeDocument/2006/relationships/hyperlink" Target="https://www.gov.uk/government/publications/government-vision-for-the-rapid-chargepoint-network-in-england/government-vision-for-the-rapid-chargepoint-network-in-england" TargetMode="External"/><Relationship Id="rId114" Type="http://schemas.openxmlformats.org/officeDocument/2006/relationships/hyperlink" Target="https://www.ezv.admin.ch/ezv/en/home/information-companies/transport--travel-documents--road-taxes/heavy-vehicle-charges--performance-related-and-lump-sum-.html" TargetMode="External"/><Relationship Id="rId119" Type="http://schemas.openxmlformats.org/officeDocument/2006/relationships/hyperlink" Target="https://theicct.org/publications/combustion-engine-car-phase-out-EU" TargetMode="External"/><Relationship Id="rId127" Type="http://schemas.openxmlformats.org/officeDocument/2006/relationships/hyperlink" Target="https://pressroom.ups.com/pressroom/ContentDetailsViewer.page?ConceptType=PressReleases&amp;id=1521473412769-768" TargetMode="External"/><Relationship Id="rId10" Type="http://schemas.openxmlformats.org/officeDocument/2006/relationships/endnotes" Target="endnotes.xml"/><Relationship Id="rId31" Type="http://schemas.openxmlformats.org/officeDocument/2006/relationships/diagramQuickStyle" Target="diagrams/quickStyle1.xml"/><Relationship Id="rId44" Type="http://schemas.openxmlformats.org/officeDocument/2006/relationships/hyperlink" Target="https://calstart.org/libraries-publications-i-710_tech_challenges_opps_report-sflb-ashx/" TargetMode="External"/><Relationship Id="rId52" Type="http://schemas.openxmlformats.org/officeDocument/2006/relationships/image" Target="media/image21.emf"/><Relationship Id="rId60" Type="http://schemas.openxmlformats.org/officeDocument/2006/relationships/hyperlink" Target="https://www.c40.org/other/green-and-healthy-streets" TargetMode="External"/><Relationship Id="rId65" Type="http://schemas.openxmlformats.org/officeDocument/2006/relationships/hyperlink" Target="https://www.californiahvip.org/" TargetMode="External"/><Relationship Id="rId73" Type="http://schemas.openxmlformats.org/officeDocument/2006/relationships/hyperlink" Target="https://www.cpuc.ca.gov/WorkArea/DownloadAsset.aspx?id=6442457607" TargetMode="External"/><Relationship Id="rId78" Type="http://schemas.openxmlformats.org/officeDocument/2006/relationships/hyperlink" Target="https://cib-bic.ca/wp-content/uploads/2020/10/Summary-of-the-CIB-Growth-Plan.pdf" TargetMode="External"/><Relationship Id="rId81" Type="http://schemas.openxmlformats.org/officeDocument/2006/relationships/hyperlink" Target="https://www.dbschenker.com/de-en/about/press/corporate-news/sustainable-logistics--db-schenker-opens-first-low-carbon-distribution-terminal-in-norway-594248" TargetMode="External"/><Relationship Id="rId86" Type="http://schemas.openxmlformats.org/officeDocument/2006/relationships/hyperlink" Target="https://ec.europa.eu/transport/themes/urban/clean-vehicles-directive_en" TargetMode="External"/><Relationship Id="rId94" Type="http://schemas.openxmlformats.org/officeDocument/2006/relationships/hyperlink" Target="https://www.greentechmedia.com/articles/read/global-electric-bus-adoption-is-set-to-triple-by-2025" TargetMode="External"/><Relationship Id="rId99" Type="http://schemas.openxmlformats.org/officeDocument/2006/relationships/hyperlink" Target="https://www.mckinsey.com/industries/automotive-and-assembly/our-insights/making-electric-vehicles-profitable" TargetMode="External"/><Relationship Id="rId101" Type="http://schemas.openxmlformats.org/officeDocument/2006/relationships/hyperlink" Target="https://www.nypa.gov/services/clean-energy-advisory-services/evolve-ny" TargetMode="External"/><Relationship Id="rId122" Type="http://schemas.openxmlformats.org/officeDocument/2006/relationships/hyperlink" Target="http://documents1.worldbank.org/curated/en/656661600060762104/pdf/Lessons-from-Chile-s-Experience-with-E-mobility-The-Integration-of-E-Buses-in-Santiago.pdf" TargetMode="External"/><Relationship Id="rId130" Type="http://schemas.openxmlformats.org/officeDocument/2006/relationships/hyperlink" Target="https://www.washingtonpost.com/climate-environment/2019/07/25/major-automakers-strike-climate-deal-with-california-rebuffing-trump-proposed-mileage-freez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hyperlink" Target="https://ww2.arb.ca.gov/our-work/programs/zero-emission-vehicle-program" TargetMode="External"/><Relationship Id="rId109" Type="http://schemas.openxmlformats.org/officeDocument/2006/relationships/hyperlink" Target="https://www.portoflosangeles.org/environment/air-quality/zero-emissions-technologies" TargetMode="External"/><Relationship Id="rId34" Type="http://schemas.openxmlformats.org/officeDocument/2006/relationships/image" Target="media/image19.png"/><Relationship Id="rId50" Type="http://schemas.openxmlformats.org/officeDocument/2006/relationships/hyperlink" Target="https://www.cpuc.ca.gov/sb350te/" TargetMode="External"/><Relationship Id="rId55" Type="http://schemas.openxmlformats.org/officeDocument/2006/relationships/hyperlink" Target="https://baijiahao.baidu.com/s?id=1641822892047745193&amp;wfr=spider&amp;for=pc" TargetMode="External"/><Relationship Id="rId76" Type="http://schemas.openxmlformats.org/officeDocument/2006/relationships/hyperlink" Target="https://calstart.org/sunline-hvip-10years/" TargetMode="External"/><Relationship Id="rId97" Type="http://schemas.openxmlformats.org/officeDocument/2006/relationships/hyperlink" Target="https://www.mckinsey.com/~/media/McKinsey/Locations/Europe%20and%20Middle%20East/Netherlands/Our%20Insights/Electric%20vehicles%20in%20Europe%20Gearing%20up%20for%20a%20new%20phase/Electric%20vehicles%20in%20Europe%20Gearing%20up%20for%20a%20new%20phase.ashx" TargetMode="External"/><Relationship Id="rId104" Type="http://schemas.openxmlformats.org/officeDocument/2006/relationships/hyperlink" Target="https://www.nyserda.ny.gov/-/media/Files/Publications/Research/Transportation/New-York-City-Green-Loading-Zones-Study.pdf" TargetMode="External"/><Relationship Id="rId120" Type="http://schemas.openxmlformats.org/officeDocument/2006/relationships/hyperlink" Target="https://theicct.org/sites/default/files/publications/ev-capitals-update-sept2020.pdf" TargetMode="External"/><Relationship Id="rId125" Type="http://schemas.openxmlformats.org/officeDocument/2006/relationships/hyperlink" Target="https://www.trucks.com/2019/11/07/toyota-unveils-hydrogen-utility-truck/" TargetMode="External"/><Relationship Id="rId7" Type="http://schemas.openxmlformats.org/officeDocument/2006/relationships/settings" Target="settings.xml"/><Relationship Id="rId71" Type="http://schemas.openxmlformats.org/officeDocument/2006/relationships/hyperlink" Target="https://www.energy.ca.gov/rules-and-regulations/energy-suppliers-reporting/clean-energy-and-pollution-reduction-act-sb-350" TargetMode="External"/><Relationship Id="rId92" Type="http://schemas.openxmlformats.org/officeDocument/2006/relationships/hyperlink" Target="http://toolkit.globaldrivetozero.org/policies-and-actions/#clean-renewable-fuel-standards" TargetMode="External"/><Relationship Id="rId2" Type="http://schemas.openxmlformats.org/officeDocument/2006/relationships/customXml" Target="../customXml/item2.xml"/><Relationship Id="rId29" Type="http://schemas.openxmlformats.org/officeDocument/2006/relationships/diagramData" Target="diagrams/data1.xml"/><Relationship Id="rId24" Type="http://schemas.openxmlformats.org/officeDocument/2006/relationships/image" Target="media/image14.png"/><Relationship Id="rId40" Type="http://schemas.openxmlformats.org/officeDocument/2006/relationships/hyperlink" Target="https://www.californiahvip.org/" TargetMode="External"/><Relationship Id="rId45" Type="http://schemas.openxmlformats.org/officeDocument/2006/relationships/hyperlink" Target="https://calstart.org/libraries-publications-i-710_tech_challenges_opps_report-sflb-ashx/" TargetMode="External"/><Relationship Id="rId66" Type="http://schemas.openxmlformats.org/officeDocument/2006/relationships/hyperlink" Target="https://ww2.arb.ca.gov/our-work/programs/innovative-clean-transit" TargetMode="External"/><Relationship Id="rId87" Type="http://schemas.openxmlformats.org/officeDocument/2006/relationships/hyperlink" Target="https://www.fastcompany.com/90297201/in-shanghai-every-ikea-delivery-is-now-made-with-an-electric-vehicle" TargetMode="External"/><Relationship Id="rId110" Type="http://schemas.openxmlformats.org/officeDocument/2006/relationships/hyperlink" Target="https://op.europa.eu/en/publication-detail/-/publication/e99bedda-ae8e-11e9-9d01-01aa75ed71a1" TargetMode="External"/><Relationship Id="rId115" Type="http://schemas.openxmlformats.org/officeDocument/2006/relationships/hyperlink" Target="https://www.economist.com/china/2018/04/19/why-a-licence-plate-costs-more-than-a-car-in-shanghai" TargetMode="External"/><Relationship Id="rId131" Type="http://schemas.openxmlformats.org/officeDocument/2006/relationships/footer" Target="footer1.xml"/><Relationship Id="rId61" Type="http://schemas.openxmlformats.org/officeDocument/2006/relationships/hyperlink" Target="https://ww3.arb.ca.gov/regact/2018/ict2018/ictfro.pdf" TargetMode="External"/><Relationship Id="rId82" Type="http://schemas.openxmlformats.org/officeDocument/2006/relationships/hyperlink" Target="http://e-ferryproject.eu/E-ferry-demonstration-area" TargetMode="External"/><Relationship Id="rId19"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B2BA40-A8F3-4DE0-AB1A-F9D9211938E8}" type="doc">
      <dgm:prSet loTypeId="urn:microsoft.com/office/officeart/2005/8/layout/hChevron3" loCatId="process" qsTypeId="urn:microsoft.com/office/officeart/2005/8/quickstyle/simple1" qsCatId="simple" csTypeId="urn:microsoft.com/office/officeart/2005/8/colors/accent1_5" csCatId="accent1" phldr="1"/>
      <dgm:spPr/>
    </dgm:pt>
    <dgm:pt modelId="{91D7F72B-F0CA-45E6-9B75-B6A16A52AF42}">
      <dgm:prSet phldrT="[Text]"/>
      <dgm:spPr/>
      <dgm:t>
        <a:bodyPr/>
        <a:lstStyle/>
        <a:p>
          <a:r>
            <a:rPr lang="en-US"/>
            <a:t>Feasibility Assessment</a:t>
          </a:r>
        </a:p>
        <a:p>
          <a:r>
            <a:rPr lang="en-US"/>
            <a:t>(</a:t>
          </a:r>
          <a:r>
            <a:rPr lang="en-US" b="1"/>
            <a:t>TRLs 1-4</a:t>
          </a:r>
          <a:r>
            <a:rPr lang="en-US"/>
            <a:t>)</a:t>
          </a:r>
        </a:p>
      </dgm:t>
    </dgm:pt>
    <dgm:pt modelId="{DE44BFEB-6FCD-49A6-9D6B-D30C8EEC9A4A}" type="parTrans" cxnId="{C28C4583-E2A7-4614-9406-B64554CA7F2A}">
      <dgm:prSet/>
      <dgm:spPr/>
      <dgm:t>
        <a:bodyPr/>
        <a:lstStyle/>
        <a:p>
          <a:endParaRPr lang="en-US"/>
        </a:p>
      </dgm:t>
    </dgm:pt>
    <dgm:pt modelId="{DEFA3E46-336D-4C28-94E4-BB5E323B566C}" type="sibTrans" cxnId="{C28C4583-E2A7-4614-9406-B64554CA7F2A}">
      <dgm:prSet/>
      <dgm:spPr/>
      <dgm:t>
        <a:bodyPr/>
        <a:lstStyle/>
        <a:p>
          <a:endParaRPr lang="en-US"/>
        </a:p>
      </dgm:t>
    </dgm:pt>
    <dgm:pt modelId="{F7C820F2-F143-4B3E-919D-0E35883F6D62}">
      <dgm:prSet phldrT="[Text]"/>
      <dgm:spPr/>
      <dgm:t>
        <a:bodyPr/>
        <a:lstStyle/>
        <a:p>
          <a:r>
            <a:rPr lang="en-US"/>
            <a:t>Technology RD&amp;D</a:t>
          </a:r>
        </a:p>
        <a:p>
          <a:r>
            <a:rPr lang="en-US"/>
            <a:t>(</a:t>
          </a:r>
          <a:r>
            <a:rPr lang="en-US" b="1"/>
            <a:t>TRLs 5-6</a:t>
          </a:r>
          <a:r>
            <a:rPr lang="en-US"/>
            <a:t>)</a:t>
          </a:r>
        </a:p>
      </dgm:t>
    </dgm:pt>
    <dgm:pt modelId="{1C97CA54-2913-4D92-9697-936A597F29F4}" type="parTrans" cxnId="{681D913C-F12B-463E-86CF-6C6DE3A7DC1D}">
      <dgm:prSet/>
      <dgm:spPr/>
      <dgm:t>
        <a:bodyPr/>
        <a:lstStyle/>
        <a:p>
          <a:endParaRPr lang="en-US"/>
        </a:p>
      </dgm:t>
    </dgm:pt>
    <dgm:pt modelId="{315656C7-FBFA-4E7C-A009-C19A2EE60333}" type="sibTrans" cxnId="{681D913C-F12B-463E-86CF-6C6DE3A7DC1D}">
      <dgm:prSet/>
      <dgm:spPr/>
      <dgm:t>
        <a:bodyPr/>
        <a:lstStyle/>
        <a:p>
          <a:endParaRPr lang="en-US"/>
        </a:p>
      </dgm:t>
    </dgm:pt>
    <dgm:pt modelId="{EBDD21EF-C724-4E24-83FE-6B244C683877}">
      <dgm:prSet phldrT="[Text]"/>
      <dgm:spPr/>
      <dgm:t>
        <a:bodyPr/>
        <a:lstStyle/>
        <a:p>
          <a:r>
            <a:rPr lang="en-US"/>
            <a:t>Pre-Commercial Stage</a:t>
          </a:r>
        </a:p>
        <a:p>
          <a:r>
            <a:rPr lang="en-US"/>
            <a:t>(</a:t>
          </a:r>
          <a:r>
            <a:rPr lang="en-US" b="1"/>
            <a:t>TRLs 7-8</a:t>
          </a:r>
          <a:r>
            <a:rPr lang="en-US"/>
            <a:t>)</a:t>
          </a:r>
        </a:p>
      </dgm:t>
    </dgm:pt>
    <dgm:pt modelId="{3004F671-CC49-44CF-9DF2-7FFA40D40522}" type="parTrans" cxnId="{7981878A-62C7-4370-AC2C-C489734DFE85}">
      <dgm:prSet/>
      <dgm:spPr/>
      <dgm:t>
        <a:bodyPr/>
        <a:lstStyle/>
        <a:p>
          <a:endParaRPr lang="en-US"/>
        </a:p>
      </dgm:t>
    </dgm:pt>
    <dgm:pt modelId="{E6A0F90E-45E2-41AE-A741-745E091EFAEC}" type="sibTrans" cxnId="{7981878A-62C7-4370-AC2C-C489734DFE85}">
      <dgm:prSet/>
      <dgm:spPr/>
      <dgm:t>
        <a:bodyPr/>
        <a:lstStyle/>
        <a:p>
          <a:endParaRPr lang="en-US"/>
        </a:p>
      </dgm:t>
    </dgm:pt>
    <dgm:pt modelId="{42E03956-210C-4A0E-A564-3F89302E7A23}">
      <dgm:prSet/>
      <dgm:spPr/>
      <dgm:t>
        <a:bodyPr/>
        <a:lstStyle/>
        <a:p>
          <a:r>
            <a:rPr lang="en-US"/>
            <a:t>Early Market Entry -&gt; Market Scale</a:t>
          </a:r>
        </a:p>
        <a:p>
          <a:r>
            <a:rPr lang="en-US"/>
            <a:t>(</a:t>
          </a:r>
          <a:r>
            <a:rPr lang="en-US" b="1"/>
            <a:t>TRL 9</a:t>
          </a:r>
          <a:r>
            <a:rPr lang="en-US"/>
            <a:t>)</a:t>
          </a:r>
        </a:p>
      </dgm:t>
    </dgm:pt>
    <dgm:pt modelId="{184215C9-F2CA-43F6-ABBD-17E9CCCE0710}" type="parTrans" cxnId="{37B45D24-D88B-45FD-92DD-673A417F3F87}">
      <dgm:prSet/>
      <dgm:spPr/>
      <dgm:t>
        <a:bodyPr/>
        <a:lstStyle/>
        <a:p>
          <a:endParaRPr lang="en-US"/>
        </a:p>
      </dgm:t>
    </dgm:pt>
    <dgm:pt modelId="{04A258F9-9584-440E-94F5-853F6B3813A3}" type="sibTrans" cxnId="{37B45D24-D88B-45FD-92DD-673A417F3F87}">
      <dgm:prSet/>
      <dgm:spPr/>
      <dgm:t>
        <a:bodyPr/>
        <a:lstStyle/>
        <a:p>
          <a:endParaRPr lang="en-US"/>
        </a:p>
      </dgm:t>
    </dgm:pt>
    <dgm:pt modelId="{CF1C66C4-3F5A-40A0-8E93-D2DAC39F057E}">
      <dgm:prSet/>
      <dgm:spPr>
        <a:solidFill>
          <a:schemeClr val="accent5">
            <a:lumMod val="60000"/>
            <a:lumOff val="40000"/>
            <a:alpha val="50000"/>
          </a:schemeClr>
        </a:solidFill>
        <a:ln w="19050">
          <a:solidFill>
            <a:schemeClr val="accent1"/>
          </a:solidFill>
        </a:ln>
      </dgm:spPr>
      <dgm:t>
        <a:bodyPr/>
        <a:lstStyle/>
        <a:p>
          <a:r>
            <a:rPr lang="en-US" b="1">
              <a:solidFill>
                <a:schemeClr val="accent1">
                  <a:lumMod val="75000"/>
                </a:schemeClr>
              </a:solidFill>
            </a:rPr>
            <a:t>Transition to Market Readiness</a:t>
          </a:r>
        </a:p>
      </dgm:t>
    </dgm:pt>
    <dgm:pt modelId="{6F56C55C-70E1-4486-8C65-1D4322C791E7}" type="parTrans" cxnId="{BD4DE708-EBDB-44D6-B5E8-ADC164F2C459}">
      <dgm:prSet/>
      <dgm:spPr/>
      <dgm:t>
        <a:bodyPr/>
        <a:lstStyle/>
        <a:p>
          <a:endParaRPr lang="en-US"/>
        </a:p>
      </dgm:t>
    </dgm:pt>
    <dgm:pt modelId="{2834D543-75FA-4EC0-BBAE-A0A36E647792}" type="sibTrans" cxnId="{BD4DE708-EBDB-44D6-B5E8-ADC164F2C459}">
      <dgm:prSet/>
      <dgm:spPr/>
      <dgm:t>
        <a:bodyPr/>
        <a:lstStyle/>
        <a:p>
          <a:endParaRPr lang="en-US"/>
        </a:p>
      </dgm:t>
    </dgm:pt>
    <dgm:pt modelId="{952042F7-E10B-471C-B0B4-FDCC71922223}" type="pres">
      <dgm:prSet presAssocID="{0EB2BA40-A8F3-4DE0-AB1A-F9D9211938E8}" presName="Name0" presStyleCnt="0">
        <dgm:presLayoutVars>
          <dgm:dir/>
          <dgm:resizeHandles val="exact"/>
        </dgm:presLayoutVars>
      </dgm:prSet>
      <dgm:spPr/>
    </dgm:pt>
    <dgm:pt modelId="{1C1C2921-07A9-4356-A9C4-7AE2479978BF}" type="pres">
      <dgm:prSet presAssocID="{91D7F72B-F0CA-45E6-9B75-B6A16A52AF42}" presName="parTxOnly" presStyleLbl="node1" presStyleIdx="0" presStyleCnt="5">
        <dgm:presLayoutVars>
          <dgm:bulletEnabled val="1"/>
        </dgm:presLayoutVars>
      </dgm:prSet>
      <dgm:spPr/>
    </dgm:pt>
    <dgm:pt modelId="{5ACC0320-6D01-4B94-8789-C82F6BC00175}" type="pres">
      <dgm:prSet presAssocID="{DEFA3E46-336D-4C28-94E4-BB5E323B566C}" presName="parSpace" presStyleCnt="0"/>
      <dgm:spPr/>
    </dgm:pt>
    <dgm:pt modelId="{8DF160B2-1B82-4DDB-889C-AFC06FCCFE34}" type="pres">
      <dgm:prSet presAssocID="{F7C820F2-F143-4B3E-919D-0E35883F6D62}" presName="parTxOnly" presStyleLbl="node1" presStyleIdx="1" presStyleCnt="5">
        <dgm:presLayoutVars>
          <dgm:bulletEnabled val="1"/>
        </dgm:presLayoutVars>
      </dgm:prSet>
      <dgm:spPr/>
    </dgm:pt>
    <dgm:pt modelId="{483C8F3A-C0BA-431E-8C42-D94363144E8C}" type="pres">
      <dgm:prSet presAssocID="{315656C7-FBFA-4E7C-A009-C19A2EE60333}" presName="parSpace" presStyleCnt="0"/>
      <dgm:spPr/>
    </dgm:pt>
    <dgm:pt modelId="{70E90E6B-DFCD-41E2-8225-0404DA0032C9}" type="pres">
      <dgm:prSet presAssocID="{EBDD21EF-C724-4E24-83FE-6B244C683877}" presName="parTxOnly" presStyleLbl="node1" presStyleIdx="2" presStyleCnt="5">
        <dgm:presLayoutVars>
          <dgm:bulletEnabled val="1"/>
        </dgm:presLayoutVars>
      </dgm:prSet>
      <dgm:spPr/>
    </dgm:pt>
    <dgm:pt modelId="{292F64FC-3B0D-46CF-B15B-6448DE875477}" type="pres">
      <dgm:prSet presAssocID="{E6A0F90E-45E2-41AE-A741-745E091EFAEC}" presName="parSpace" presStyleCnt="0"/>
      <dgm:spPr/>
    </dgm:pt>
    <dgm:pt modelId="{4A846529-3B23-4437-9BDB-8361900A2C63}" type="pres">
      <dgm:prSet presAssocID="{42E03956-210C-4A0E-A564-3F89302E7A23}" presName="parTxOnly" presStyleLbl="node1" presStyleIdx="3" presStyleCnt="5">
        <dgm:presLayoutVars>
          <dgm:bulletEnabled val="1"/>
        </dgm:presLayoutVars>
      </dgm:prSet>
      <dgm:spPr/>
    </dgm:pt>
    <dgm:pt modelId="{48AD6A53-961F-4053-94E6-20EC2BD70E67}" type="pres">
      <dgm:prSet presAssocID="{04A258F9-9584-440E-94F5-853F6B3813A3}" presName="parSpace" presStyleCnt="0"/>
      <dgm:spPr/>
    </dgm:pt>
    <dgm:pt modelId="{9ABEFDB6-7E55-4BD9-981D-5F7607134459}" type="pres">
      <dgm:prSet presAssocID="{CF1C66C4-3F5A-40A0-8E93-D2DAC39F057E}" presName="parTxOnly" presStyleLbl="node1" presStyleIdx="4" presStyleCnt="5">
        <dgm:presLayoutVars>
          <dgm:bulletEnabled val="1"/>
        </dgm:presLayoutVars>
      </dgm:prSet>
      <dgm:spPr/>
    </dgm:pt>
  </dgm:ptLst>
  <dgm:cxnLst>
    <dgm:cxn modelId="{BD4DE708-EBDB-44D6-B5E8-ADC164F2C459}" srcId="{0EB2BA40-A8F3-4DE0-AB1A-F9D9211938E8}" destId="{CF1C66C4-3F5A-40A0-8E93-D2DAC39F057E}" srcOrd="4" destOrd="0" parTransId="{6F56C55C-70E1-4486-8C65-1D4322C791E7}" sibTransId="{2834D543-75FA-4EC0-BBAE-A0A36E647792}"/>
    <dgm:cxn modelId="{0A46C51A-1606-4A36-A83A-D186EC096088}" type="presOf" srcId="{0EB2BA40-A8F3-4DE0-AB1A-F9D9211938E8}" destId="{952042F7-E10B-471C-B0B4-FDCC71922223}" srcOrd="0" destOrd="0" presId="urn:microsoft.com/office/officeart/2005/8/layout/hChevron3"/>
    <dgm:cxn modelId="{37B45D24-D88B-45FD-92DD-673A417F3F87}" srcId="{0EB2BA40-A8F3-4DE0-AB1A-F9D9211938E8}" destId="{42E03956-210C-4A0E-A564-3F89302E7A23}" srcOrd="3" destOrd="0" parTransId="{184215C9-F2CA-43F6-ABBD-17E9CCCE0710}" sibTransId="{04A258F9-9584-440E-94F5-853F6B3813A3}"/>
    <dgm:cxn modelId="{81ED5326-F43A-4501-A8F9-3F70F1B1B9D4}" type="presOf" srcId="{CF1C66C4-3F5A-40A0-8E93-D2DAC39F057E}" destId="{9ABEFDB6-7E55-4BD9-981D-5F7607134459}" srcOrd="0" destOrd="0" presId="urn:microsoft.com/office/officeart/2005/8/layout/hChevron3"/>
    <dgm:cxn modelId="{681D913C-F12B-463E-86CF-6C6DE3A7DC1D}" srcId="{0EB2BA40-A8F3-4DE0-AB1A-F9D9211938E8}" destId="{F7C820F2-F143-4B3E-919D-0E35883F6D62}" srcOrd="1" destOrd="0" parTransId="{1C97CA54-2913-4D92-9697-936A597F29F4}" sibTransId="{315656C7-FBFA-4E7C-A009-C19A2EE60333}"/>
    <dgm:cxn modelId="{DB4CE182-FED2-43FD-9787-2C58FF6B1B20}" type="presOf" srcId="{F7C820F2-F143-4B3E-919D-0E35883F6D62}" destId="{8DF160B2-1B82-4DDB-889C-AFC06FCCFE34}" srcOrd="0" destOrd="0" presId="urn:microsoft.com/office/officeart/2005/8/layout/hChevron3"/>
    <dgm:cxn modelId="{C28C4583-E2A7-4614-9406-B64554CA7F2A}" srcId="{0EB2BA40-A8F3-4DE0-AB1A-F9D9211938E8}" destId="{91D7F72B-F0CA-45E6-9B75-B6A16A52AF42}" srcOrd="0" destOrd="0" parTransId="{DE44BFEB-6FCD-49A6-9D6B-D30C8EEC9A4A}" sibTransId="{DEFA3E46-336D-4C28-94E4-BB5E323B566C}"/>
    <dgm:cxn modelId="{F33B7F8A-68A6-44B0-B309-DD6CF992084F}" type="presOf" srcId="{42E03956-210C-4A0E-A564-3F89302E7A23}" destId="{4A846529-3B23-4437-9BDB-8361900A2C63}" srcOrd="0" destOrd="0" presId="urn:microsoft.com/office/officeart/2005/8/layout/hChevron3"/>
    <dgm:cxn modelId="{7981878A-62C7-4370-AC2C-C489734DFE85}" srcId="{0EB2BA40-A8F3-4DE0-AB1A-F9D9211938E8}" destId="{EBDD21EF-C724-4E24-83FE-6B244C683877}" srcOrd="2" destOrd="0" parTransId="{3004F671-CC49-44CF-9DF2-7FFA40D40522}" sibTransId="{E6A0F90E-45E2-41AE-A741-745E091EFAEC}"/>
    <dgm:cxn modelId="{07CCED98-73EE-41E9-9FAF-990C722A308D}" type="presOf" srcId="{91D7F72B-F0CA-45E6-9B75-B6A16A52AF42}" destId="{1C1C2921-07A9-4356-A9C4-7AE2479978BF}" srcOrd="0" destOrd="0" presId="urn:microsoft.com/office/officeart/2005/8/layout/hChevron3"/>
    <dgm:cxn modelId="{7B07C9C0-C097-4254-A453-24C77810682E}" type="presOf" srcId="{EBDD21EF-C724-4E24-83FE-6B244C683877}" destId="{70E90E6B-DFCD-41E2-8225-0404DA0032C9}" srcOrd="0" destOrd="0" presId="urn:microsoft.com/office/officeart/2005/8/layout/hChevron3"/>
    <dgm:cxn modelId="{7B087EC9-30A6-4140-9BEF-5FADC13DDE97}" type="presParOf" srcId="{952042F7-E10B-471C-B0B4-FDCC71922223}" destId="{1C1C2921-07A9-4356-A9C4-7AE2479978BF}" srcOrd="0" destOrd="0" presId="urn:microsoft.com/office/officeart/2005/8/layout/hChevron3"/>
    <dgm:cxn modelId="{0D5DCEBF-9718-4C56-991F-7FC2C32A45DD}" type="presParOf" srcId="{952042F7-E10B-471C-B0B4-FDCC71922223}" destId="{5ACC0320-6D01-4B94-8789-C82F6BC00175}" srcOrd="1" destOrd="0" presId="urn:microsoft.com/office/officeart/2005/8/layout/hChevron3"/>
    <dgm:cxn modelId="{074974B3-8892-440A-BED0-B27693EFC454}" type="presParOf" srcId="{952042F7-E10B-471C-B0B4-FDCC71922223}" destId="{8DF160B2-1B82-4DDB-889C-AFC06FCCFE34}" srcOrd="2" destOrd="0" presId="urn:microsoft.com/office/officeart/2005/8/layout/hChevron3"/>
    <dgm:cxn modelId="{CE378759-A6F9-4B03-B38E-C4B44FF696CF}" type="presParOf" srcId="{952042F7-E10B-471C-B0B4-FDCC71922223}" destId="{483C8F3A-C0BA-431E-8C42-D94363144E8C}" srcOrd="3" destOrd="0" presId="urn:microsoft.com/office/officeart/2005/8/layout/hChevron3"/>
    <dgm:cxn modelId="{0F1B93A3-B2A2-4282-8788-3A8330C608E0}" type="presParOf" srcId="{952042F7-E10B-471C-B0B4-FDCC71922223}" destId="{70E90E6B-DFCD-41E2-8225-0404DA0032C9}" srcOrd="4" destOrd="0" presId="urn:microsoft.com/office/officeart/2005/8/layout/hChevron3"/>
    <dgm:cxn modelId="{A6C93D85-7838-454A-A862-1E1B355FEFE7}" type="presParOf" srcId="{952042F7-E10B-471C-B0B4-FDCC71922223}" destId="{292F64FC-3B0D-46CF-B15B-6448DE875477}" srcOrd="5" destOrd="0" presId="urn:microsoft.com/office/officeart/2005/8/layout/hChevron3"/>
    <dgm:cxn modelId="{F6FD3E21-72A9-45E5-BC03-88771C5B5260}" type="presParOf" srcId="{952042F7-E10B-471C-B0B4-FDCC71922223}" destId="{4A846529-3B23-4437-9BDB-8361900A2C63}" srcOrd="6" destOrd="0" presId="urn:microsoft.com/office/officeart/2005/8/layout/hChevron3"/>
    <dgm:cxn modelId="{F91944B8-8743-4E1A-94AD-66F06E149D58}" type="presParOf" srcId="{952042F7-E10B-471C-B0B4-FDCC71922223}" destId="{48AD6A53-961F-4053-94E6-20EC2BD70E67}" srcOrd="7" destOrd="0" presId="urn:microsoft.com/office/officeart/2005/8/layout/hChevron3"/>
    <dgm:cxn modelId="{4BA44D7D-ABB0-4433-A488-662A8D2EE065}" type="presParOf" srcId="{952042F7-E10B-471C-B0B4-FDCC71922223}" destId="{9ABEFDB6-7E55-4BD9-981D-5F7607134459}" srcOrd="8"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1C2921-07A9-4356-A9C4-7AE2479978BF}">
      <dsp:nvSpPr>
        <dsp:cNvPr id="0" name=""/>
        <dsp:cNvSpPr/>
      </dsp:nvSpPr>
      <dsp:spPr>
        <a:xfrm>
          <a:off x="721" y="118722"/>
          <a:ext cx="1406635" cy="562654"/>
        </a:xfrm>
        <a:prstGeom prst="homePlate">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Feasibility Assessment</a:t>
          </a:r>
        </a:p>
        <a:p>
          <a:pPr marL="0" lvl="0" indent="0" algn="ctr" defTabSz="355600">
            <a:lnSpc>
              <a:spcPct val="90000"/>
            </a:lnSpc>
            <a:spcBef>
              <a:spcPct val="0"/>
            </a:spcBef>
            <a:spcAft>
              <a:spcPct val="35000"/>
            </a:spcAft>
            <a:buNone/>
          </a:pPr>
          <a:r>
            <a:rPr lang="en-US" sz="800" kern="1200"/>
            <a:t>(</a:t>
          </a:r>
          <a:r>
            <a:rPr lang="en-US" sz="800" b="1" kern="1200"/>
            <a:t>TRLs 1-4</a:t>
          </a:r>
          <a:r>
            <a:rPr lang="en-US" sz="800" kern="1200"/>
            <a:t>)</a:t>
          </a:r>
        </a:p>
      </dsp:txBody>
      <dsp:txXfrm>
        <a:off x="721" y="118722"/>
        <a:ext cx="1265972" cy="562654"/>
      </dsp:txXfrm>
    </dsp:sp>
    <dsp:sp modelId="{8DF160B2-1B82-4DDB-889C-AFC06FCCFE34}">
      <dsp:nvSpPr>
        <dsp:cNvPr id="0" name=""/>
        <dsp:cNvSpPr/>
      </dsp:nvSpPr>
      <dsp:spPr>
        <a:xfrm>
          <a:off x="1126029" y="118722"/>
          <a:ext cx="1406635" cy="562654"/>
        </a:xfrm>
        <a:prstGeom prst="chevron">
          <a:avLst/>
        </a:prstGeom>
        <a:solidFill>
          <a:schemeClr val="accent1">
            <a:alpha val="90000"/>
            <a:hueOff val="0"/>
            <a:satOff val="0"/>
            <a:lumOff val="0"/>
            <a:alphaOff val="-1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Technology RD&amp;D</a:t>
          </a:r>
        </a:p>
        <a:p>
          <a:pPr marL="0" lvl="0" indent="0" algn="ctr" defTabSz="355600">
            <a:lnSpc>
              <a:spcPct val="90000"/>
            </a:lnSpc>
            <a:spcBef>
              <a:spcPct val="0"/>
            </a:spcBef>
            <a:spcAft>
              <a:spcPct val="35000"/>
            </a:spcAft>
            <a:buNone/>
          </a:pPr>
          <a:r>
            <a:rPr lang="en-US" sz="800" kern="1200"/>
            <a:t>(</a:t>
          </a:r>
          <a:r>
            <a:rPr lang="en-US" sz="800" b="1" kern="1200"/>
            <a:t>TRLs 5-6</a:t>
          </a:r>
          <a:r>
            <a:rPr lang="en-US" sz="800" kern="1200"/>
            <a:t>)</a:t>
          </a:r>
        </a:p>
      </dsp:txBody>
      <dsp:txXfrm>
        <a:off x="1407356" y="118722"/>
        <a:ext cx="843981" cy="562654"/>
      </dsp:txXfrm>
    </dsp:sp>
    <dsp:sp modelId="{70E90E6B-DFCD-41E2-8225-0404DA0032C9}">
      <dsp:nvSpPr>
        <dsp:cNvPr id="0" name=""/>
        <dsp:cNvSpPr/>
      </dsp:nvSpPr>
      <dsp:spPr>
        <a:xfrm>
          <a:off x="2251337" y="118722"/>
          <a:ext cx="1406635" cy="562654"/>
        </a:xfrm>
        <a:prstGeom prst="chevron">
          <a:avLst/>
        </a:prstGeom>
        <a:solidFill>
          <a:schemeClr val="accent1">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Pre-Commercial Stage</a:t>
          </a:r>
        </a:p>
        <a:p>
          <a:pPr marL="0" lvl="0" indent="0" algn="ctr" defTabSz="355600">
            <a:lnSpc>
              <a:spcPct val="90000"/>
            </a:lnSpc>
            <a:spcBef>
              <a:spcPct val="0"/>
            </a:spcBef>
            <a:spcAft>
              <a:spcPct val="35000"/>
            </a:spcAft>
            <a:buNone/>
          </a:pPr>
          <a:r>
            <a:rPr lang="en-US" sz="800" kern="1200"/>
            <a:t>(</a:t>
          </a:r>
          <a:r>
            <a:rPr lang="en-US" sz="800" b="1" kern="1200"/>
            <a:t>TRLs 7-8</a:t>
          </a:r>
          <a:r>
            <a:rPr lang="en-US" sz="800" kern="1200"/>
            <a:t>)</a:t>
          </a:r>
        </a:p>
      </dsp:txBody>
      <dsp:txXfrm>
        <a:off x="2532664" y="118722"/>
        <a:ext cx="843981" cy="562654"/>
      </dsp:txXfrm>
    </dsp:sp>
    <dsp:sp modelId="{4A846529-3B23-4437-9BDB-8361900A2C63}">
      <dsp:nvSpPr>
        <dsp:cNvPr id="0" name=""/>
        <dsp:cNvSpPr/>
      </dsp:nvSpPr>
      <dsp:spPr>
        <a:xfrm>
          <a:off x="3376645" y="118722"/>
          <a:ext cx="1406635" cy="562654"/>
        </a:xfrm>
        <a:prstGeom prst="chevron">
          <a:avLst/>
        </a:prstGeom>
        <a:solidFill>
          <a:schemeClr val="accent1">
            <a:alpha val="90000"/>
            <a:hueOff val="0"/>
            <a:satOff val="0"/>
            <a:lumOff val="0"/>
            <a:alphaOff val="-3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Early Market Entry -&gt; Market Scale</a:t>
          </a:r>
        </a:p>
        <a:p>
          <a:pPr marL="0" lvl="0" indent="0" algn="ctr" defTabSz="355600">
            <a:lnSpc>
              <a:spcPct val="90000"/>
            </a:lnSpc>
            <a:spcBef>
              <a:spcPct val="0"/>
            </a:spcBef>
            <a:spcAft>
              <a:spcPct val="35000"/>
            </a:spcAft>
            <a:buNone/>
          </a:pPr>
          <a:r>
            <a:rPr lang="en-US" sz="800" kern="1200"/>
            <a:t>(</a:t>
          </a:r>
          <a:r>
            <a:rPr lang="en-US" sz="800" b="1" kern="1200"/>
            <a:t>TRL 9</a:t>
          </a:r>
          <a:r>
            <a:rPr lang="en-US" sz="800" kern="1200"/>
            <a:t>)</a:t>
          </a:r>
        </a:p>
      </dsp:txBody>
      <dsp:txXfrm>
        <a:off x="3657972" y="118722"/>
        <a:ext cx="843981" cy="562654"/>
      </dsp:txXfrm>
    </dsp:sp>
    <dsp:sp modelId="{9ABEFDB6-7E55-4BD9-981D-5F7607134459}">
      <dsp:nvSpPr>
        <dsp:cNvPr id="0" name=""/>
        <dsp:cNvSpPr/>
      </dsp:nvSpPr>
      <dsp:spPr>
        <a:xfrm>
          <a:off x="4501953" y="118722"/>
          <a:ext cx="1406635" cy="562654"/>
        </a:xfrm>
        <a:prstGeom prst="chevron">
          <a:avLst/>
        </a:prstGeom>
        <a:solidFill>
          <a:schemeClr val="accent5">
            <a:lumMod val="60000"/>
            <a:lumOff val="40000"/>
            <a:alpha val="50000"/>
          </a:schemeClr>
        </a:solidFill>
        <a:ln w="1905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accent1">
                  <a:lumMod val="75000"/>
                </a:schemeClr>
              </a:solidFill>
            </a:rPr>
            <a:t>Transition to Market Readiness</a:t>
          </a:r>
        </a:p>
      </dsp:txBody>
      <dsp:txXfrm>
        <a:off x="4783280" y="118722"/>
        <a:ext cx="843981" cy="56265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EF1764FB0D7C43B6F8C9A564A08284" ma:contentTypeVersion="11" ma:contentTypeDescription="Create a new document." ma:contentTypeScope="" ma:versionID="fa6765e370a1dc7ca5629810d94019c1">
  <xsd:schema xmlns:xsd="http://www.w3.org/2001/XMLSchema" xmlns:xs="http://www.w3.org/2001/XMLSchema" xmlns:p="http://schemas.microsoft.com/office/2006/metadata/properties" xmlns:ns2="2a983ca1-705b-4bfa-a650-5c4128f33ba0" xmlns:ns3="87e1cac7-f1b8-4ac7-932c-a8965850c37e" targetNamespace="http://schemas.microsoft.com/office/2006/metadata/properties" ma:root="true" ma:fieldsID="401506f0e97d7c9211ad0df055066789" ns2:_="" ns3:_="">
    <xsd:import namespace="2a983ca1-705b-4bfa-a650-5c4128f33ba0"/>
    <xsd:import namespace="87e1cac7-f1b8-4ac7-932c-a8965850c3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983ca1-705b-4bfa-a650-5c4128f33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e1cac7-f1b8-4ac7-932c-a8965850c37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7e1cac7-f1b8-4ac7-932c-a8965850c37e">
      <UserInfo>
        <DisplayName>Roxanna Smith</DisplayName>
        <AccountId>71</AccountId>
        <AccountType/>
      </UserInfo>
    </SharedWithUsers>
  </documentManagement>
</p:properties>
</file>

<file path=customXml/itemProps1.xml><?xml version="1.0" encoding="utf-8"?>
<ds:datastoreItem xmlns:ds="http://schemas.openxmlformats.org/officeDocument/2006/customXml" ds:itemID="{75351D4A-B29D-438F-AD7D-8B7C4FEA6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983ca1-705b-4bfa-a650-5c4128f33ba0"/>
    <ds:schemaRef ds:uri="87e1cac7-f1b8-4ac7-932c-a8965850c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2E6E98-DB20-4A90-858C-0C1B72646D6B}">
  <ds:schemaRefs>
    <ds:schemaRef ds:uri="http://schemas.microsoft.com/sharepoint/v3/contenttype/forms"/>
  </ds:schemaRefs>
</ds:datastoreItem>
</file>

<file path=customXml/itemProps3.xml><?xml version="1.0" encoding="utf-8"?>
<ds:datastoreItem xmlns:ds="http://schemas.openxmlformats.org/officeDocument/2006/customXml" ds:itemID="{F9103878-1270-45A7-ADF7-D29EF472DC8D}">
  <ds:schemaRefs>
    <ds:schemaRef ds:uri="http://schemas.openxmlformats.org/officeDocument/2006/bibliography"/>
  </ds:schemaRefs>
</ds:datastoreItem>
</file>

<file path=customXml/itemProps4.xml><?xml version="1.0" encoding="utf-8"?>
<ds:datastoreItem xmlns:ds="http://schemas.openxmlformats.org/officeDocument/2006/customXml" ds:itemID="{E72F37F0-52A6-45A3-B7E6-5CFD508D7747}">
  <ds:schemaRefs>
    <ds:schemaRef ds:uri="http://schemas.microsoft.com/office/2006/metadata/properties"/>
    <ds:schemaRef ds:uri="http://schemas.microsoft.com/office/infopath/2007/PartnerControls"/>
    <ds:schemaRef ds:uri="87e1cac7-f1b8-4ac7-932c-a8965850c37e"/>
  </ds:schemaRefs>
</ds:datastoreItem>
</file>

<file path=docProps/app.xml><?xml version="1.0" encoding="utf-8"?>
<Properties xmlns="http://schemas.openxmlformats.org/officeDocument/2006/extended-properties" xmlns:vt="http://schemas.openxmlformats.org/officeDocument/2006/docPropsVTypes">
  <Template>Normal</Template>
  <TotalTime>2895</TotalTime>
  <Pages>38</Pages>
  <Words>14916</Words>
  <Characters>85026</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99743</CharactersWithSpaces>
  <SharedDoc>false</SharedDoc>
  <HLinks>
    <vt:vector size="618" baseType="variant">
      <vt:variant>
        <vt:i4>4194310</vt:i4>
      </vt:variant>
      <vt:variant>
        <vt:i4>525</vt:i4>
      </vt:variant>
      <vt:variant>
        <vt:i4>0</vt:i4>
      </vt:variant>
      <vt:variant>
        <vt:i4>5</vt:i4>
      </vt:variant>
      <vt:variant>
        <vt:lpwstr>https://urbanaccessregulations.eu/countries-mainmenu-147/norway-mainmenu-197/oslo</vt:lpwstr>
      </vt:variant>
      <vt:variant>
        <vt:lpwstr/>
      </vt:variant>
      <vt:variant>
        <vt:i4>1245256</vt:i4>
      </vt:variant>
      <vt:variant>
        <vt:i4>522</vt:i4>
      </vt:variant>
      <vt:variant>
        <vt:i4>0</vt:i4>
      </vt:variant>
      <vt:variant>
        <vt:i4>5</vt:i4>
      </vt:variant>
      <vt:variant>
        <vt:lpwstr>https://pressroom.ups.com/pressroom/ContentDetailsViewer.page?ConceptType=PressReleases&amp;id=1580304360144-453</vt:lpwstr>
      </vt:variant>
      <vt:variant>
        <vt:lpwstr/>
      </vt:variant>
      <vt:variant>
        <vt:i4>1900618</vt:i4>
      </vt:variant>
      <vt:variant>
        <vt:i4>519</vt:i4>
      </vt:variant>
      <vt:variant>
        <vt:i4>0</vt:i4>
      </vt:variant>
      <vt:variant>
        <vt:i4>5</vt:i4>
      </vt:variant>
      <vt:variant>
        <vt:lpwstr>https://pressroom.ups.com/pressroom/ContentDetailsViewer.page?ConceptType=PressReleases&amp;id=1521473412769-768</vt:lpwstr>
      </vt:variant>
      <vt:variant>
        <vt:lpwstr/>
      </vt:variant>
      <vt:variant>
        <vt:i4>5242978</vt:i4>
      </vt:variant>
      <vt:variant>
        <vt:i4>516</vt:i4>
      </vt:variant>
      <vt:variant>
        <vt:i4>0</vt:i4>
      </vt:variant>
      <vt:variant>
        <vt:i4>5</vt:i4>
      </vt:variant>
      <vt:variant>
        <vt:lpwstr>https://archive.epa.gov/sectors/web/pdf/emission_20050519.pdf</vt:lpwstr>
      </vt:variant>
      <vt:variant>
        <vt:lpwstr/>
      </vt:variant>
      <vt:variant>
        <vt:i4>589910</vt:i4>
      </vt:variant>
      <vt:variant>
        <vt:i4>513</vt:i4>
      </vt:variant>
      <vt:variant>
        <vt:i4>0</vt:i4>
      </vt:variant>
      <vt:variant>
        <vt:i4>5</vt:i4>
      </vt:variant>
      <vt:variant>
        <vt:lpwstr>https://tfl.gov.uk/modes/driving/ultra-low-emission-zone/ulez-where-and-when</vt:lpwstr>
      </vt:variant>
      <vt:variant>
        <vt:lpwstr/>
      </vt:variant>
      <vt:variant>
        <vt:i4>5439513</vt:i4>
      </vt:variant>
      <vt:variant>
        <vt:i4>510</vt:i4>
      </vt:variant>
      <vt:variant>
        <vt:i4>0</vt:i4>
      </vt:variant>
      <vt:variant>
        <vt:i4>5</vt:i4>
      </vt:variant>
      <vt:variant>
        <vt:lpwstr>https://thelionelectric.com/en/products/electric_truck_class8</vt:lpwstr>
      </vt:variant>
      <vt:variant>
        <vt:lpwstr/>
      </vt:variant>
      <vt:variant>
        <vt:i4>2490470</vt:i4>
      </vt:variant>
      <vt:variant>
        <vt:i4>507</vt:i4>
      </vt:variant>
      <vt:variant>
        <vt:i4>0</vt:i4>
      </vt:variant>
      <vt:variant>
        <vt:i4>5</vt:i4>
      </vt:variant>
      <vt:variant>
        <vt:lpwstr>https://theicct.org/publications/combustion-engine-car-phase-out-EU</vt:lpwstr>
      </vt:variant>
      <vt:variant>
        <vt:lpwstr/>
      </vt:variant>
      <vt:variant>
        <vt:i4>4063353</vt:i4>
      </vt:variant>
      <vt:variant>
        <vt:i4>504</vt:i4>
      </vt:variant>
      <vt:variant>
        <vt:i4>0</vt:i4>
      </vt:variant>
      <vt:variant>
        <vt:i4>5</vt:i4>
      </vt:variant>
      <vt:variant>
        <vt:lpwstr>https://theicct.org/sites/default/files/Market-Segmentation-and-Duty-Cycles_Rodriguez_ICCT.pdf</vt:lpwstr>
      </vt:variant>
      <vt:variant>
        <vt:lpwstr/>
      </vt:variant>
      <vt:variant>
        <vt:i4>8126588</vt:i4>
      </vt:variant>
      <vt:variant>
        <vt:i4>501</vt:i4>
      </vt:variant>
      <vt:variant>
        <vt:i4>0</vt:i4>
      </vt:variant>
      <vt:variant>
        <vt:i4>5</vt:i4>
      </vt:variant>
      <vt:variant>
        <vt:lpwstr>https://theicct.org/sites/default/files/publications/Zero Emission Vehicle Mandate Briefing v2.pdf</vt:lpwstr>
      </vt:variant>
      <vt:variant>
        <vt:lpwstr/>
      </vt:variant>
      <vt:variant>
        <vt:i4>196659</vt:i4>
      </vt:variant>
      <vt:variant>
        <vt:i4>498</vt:i4>
      </vt:variant>
      <vt:variant>
        <vt:i4>0</vt:i4>
      </vt:variant>
      <vt:variant>
        <vt:i4>5</vt:i4>
      </vt:variant>
      <vt:variant>
        <vt:lpwstr>https://theicct.org/sites/default/files/publications/ICCT_EV_surge_US_cities_20190610.pdf</vt:lpwstr>
      </vt:variant>
      <vt:variant>
        <vt:lpwstr/>
      </vt:variant>
      <vt:variant>
        <vt:i4>4784219</vt:i4>
      </vt:variant>
      <vt:variant>
        <vt:i4>495</vt:i4>
      </vt:variant>
      <vt:variant>
        <vt:i4>0</vt:i4>
      </vt:variant>
      <vt:variant>
        <vt:i4>5</vt:i4>
      </vt:variant>
      <vt:variant>
        <vt:lpwstr>https://www.economist.com/china/2018/04/19/why-a-licence-plate-costs-more-than-a-car-in-shanghai</vt:lpwstr>
      </vt:variant>
      <vt:variant>
        <vt:lpwstr/>
      </vt:variant>
      <vt:variant>
        <vt:i4>589830</vt:i4>
      </vt:variant>
      <vt:variant>
        <vt:i4>492</vt:i4>
      </vt:variant>
      <vt:variant>
        <vt:i4>0</vt:i4>
      </vt:variant>
      <vt:variant>
        <vt:i4>5</vt:i4>
      </vt:variant>
      <vt:variant>
        <vt:lpwstr>https://cleanairactionplan.org/documents/final-drayage-truck-feasibility-assessment.pdf/</vt:lpwstr>
      </vt:variant>
      <vt:variant>
        <vt:lpwstr/>
      </vt:variant>
      <vt:variant>
        <vt:i4>2162805</vt:i4>
      </vt:variant>
      <vt:variant>
        <vt:i4>489</vt:i4>
      </vt:variant>
      <vt:variant>
        <vt:i4>0</vt:i4>
      </vt:variant>
      <vt:variant>
        <vt:i4>5</vt:i4>
      </vt:variant>
      <vt:variant>
        <vt:lpwstr>http://www.nyc.gov/html/dot/downloads/pdf/trafrule.pdf</vt:lpwstr>
      </vt:variant>
      <vt:variant>
        <vt:lpwstr/>
      </vt:variant>
      <vt:variant>
        <vt:i4>5373967</vt:i4>
      </vt:variant>
      <vt:variant>
        <vt:i4>486</vt:i4>
      </vt:variant>
      <vt:variant>
        <vt:i4>0</vt:i4>
      </vt:variant>
      <vt:variant>
        <vt:i4>5</vt:i4>
      </vt:variant>
      <vt:variant>
        <vt:lpwstr>https://www.nyserda.ny.gov/-/media/Files/Publications/Research/Transportation/New-York-City-Green-Loading-Zones-Study.pdf</vt:lpwstr>
      </vt:variant>
      <vt:variant>
        <vt:lpwstr/>
      </vt:variant>
      <vt:variant>
        <vt:i4>2097190</vt:i4>
      </vt:variant>
      <vt:variant>
        <vt:i4>483</vt:i4>
      </vt:variant>
      <vt:variant>
        <vt:i4>0</vt:i4>
      </vt:variant>
      <vt:variant>
        <vt:i4>5</vt:i4>
      </vt:variant>
      <vt:variant>
        <vt:lpwstr>https://www.nyserda.ny.gov/All Programs/Programs/Truck Voucher Program</vt:lpwstr>
      </vt:variant>
      <vt:variant>
        <vt:lpwstr/>
      </vt:variant>
      <vt:variant>
        <vt:i4>2818170</vt:i4>
      </vt:variant>
      <vt:variant>
        <vt:i4>480</vt:i4>
      </vt:variant>
      <vt:variant>
        <vt:i4>0</vt:i4>
      </vt:variant>
      <vt:variant>
        <vt:i4>5</vt:i4>
      </vt:variant>
      <vt:variant>
        <vt:lpwstr>https://www.nyserda.ny.gov/-/media/Files/Publications/Research/Other-Technical-Reports/building-fire-safety-codes-hydrogen-tech-app.pdf</vt:lpwstr>
      </vt:variant>
      <vt:variant>
        <vt:lpwstr/>
      </vt:variant>
      <vt:variant>
        <vt:i4>5242901</vt:i4>
      </vt:variant>
      <vt:variant>
        <vt:i4>477</vt:i4>
      </vt:variant>
      <vt:variant>
        <vt:i4>0</vt:i4>
      </vt:variant>
      <vt:variant>
        <vt:i4>5</vt:i4>
      </vt:variant>
      <vt:variant>
        <vt:lpwstr>https://www.nescaum.org/documents/multistate-truck-zev-governors-mou-20200714.pdf</vt:lpwstr>
      </vt:variant>
      <vt:variant>
        <vt:lpwstr/>
      </vt:variant>
      <vt:variant>
        <vt:i4>852035</vt:i4>
      </vt:variant>
      <vt:variant>
        <vt:i4>474</vt:i4>
      </vt:variant>
      <vt:variant>
        <vt:i4>0</vt:i4>
      </vt:variant>
      <vt:variant>
        <vt:i4>5</vt:i4>
      </vt:variant>
      <vt:variant>
        <vt:lpwstr>https://www.mckinsey.com/industries/automotive-and-assembly/our-insights/making-electric-vehicles-profitable</vt:lpwstr>
      </vt:variant>
      <vt:variant>
        <vt:lpwstr/>
      </vt:variant>
      <vt:variant>
        <vt:i4>1966169</vt:i4>
      </vt:variant>
      <vt:variant>
        <vt:i4>471</vt:i4>
      </vt:variant>
      <vt:variant>
        <vt:i4>0</vt:i4>
      </vt:variant>
      <vt:variant>
        <vt:i4>5</vt:i4>
      </vt:variant>
      <vt:variant>
        <vt:lpwstr>https://www.mckinsey.com/industries/automotive-and-assembly/our-insights/fast-transit-why-urban-e-buses-lead-electric-vehicle-growth</vt:lpwstr>
      </vt:variant>
      <vt:variant>
        <vt:lpwstr/>
      </vt:variant>
      <vt:variant>
        <vt:i4>2359392</vt:i4>
      </vt:variant>
      <vt:variant>
        <vt:i4>468</vt:i4>
      </vt:variant>
      <vt:variant>
        <vt:i4>0</vt:i4>
      </vt:variant>
      <vt:variant>
        <vt:i4>5</vt:i4>
      </vt:variant>
      <vt:variant>
        <vt:lpwstr>https://www.mckinsey.com/~/media/McKinsey/Locations/Europe and Middle East/Netherlands/Our Insights/Electric vehicles in Europe Gearing up for a new phase/Electric vehicles in Europe Gearing up for a new phase.ashx</vt:lpwstr>
      </vt:variant>
      <vt:variant>
        <vt:lpwstr/>
      </vt:variant>
      <vt:variant>
        <vt:i4>983059</vt:i4>
      </vt:variant>
      <vt:variant>
        <vt:i4>465</vt:i4>
      </vt:variant>
      <vt:variant>
        <vt:i4>0</vt:i4>
      </vt:variant>
      <vt:variant>
        <vt:i4>5</vt:i4>
      </vt:variant>
      <vt:variant>
        <vt:lpwstr>https://www.iea.org/reports/the-future-of-trucks</vt:lpwstr>
      </vt:variant>
      <vt:variant>
        <vt:lpwstr/>
      </vt:variant>
      <vt:variant>
        <vt:i4>6291492</vt:i4>
      </vt:variant>
      <vt:variant>
        <vt:i4>462</vt:i4>
      </vt:variant>
      <vt:variant>
        <vt:i4>0</vt:i4>
      </vt:variant>
      <vt:variant>
        <vt:i4>5</vt:i4>
      </vt:variant>
      <vt:variant>
        <vt:lpwstr>https://www.greentechmedia.com/articles/read/global-electric-bus-adoption-is-set-to-triple-by-2025</vt:lpwstr>
      </vt:variant>
      <vt:variant>
        <vt:lpwstr/>
      </vt:variant>
      <vt:variant>
        <vt:i4>524308</vt:i4>
      </vt:variant>
      <vt:variant>
        <vt:i4>459</vt:i4>
      </vt:variant>
      <vt:variant>
        <vt:i4>0</vt:i4>
      </vt:variant>
      <vt:variant>
        <vt:i4>5</vt:i4>
      </vt:variant>
      <vt:variant>
        <vt:lpwstr>https://www.greentechmedia.com/articles/read/how-internal-combustion-engines-will-die-out-in-eurasia</vt:lpwstr>
      </vt:variant>
      <vt:variant>
        <vt:lpwstr/>
      </vt:variant>
      <vt:variant>
        <vt:i4>1310723</vt:i4>
      </vt:variant>
      <vt:variant>
        <vt:i4>456</vt:i4>
      </vt:variant>
      <vt:variant>
        <vt:i4>0</vt:i4>
      </vt:variant>
      <vt:variant>
        <vt:i4>5</vt:i4>
      </vt:variant>
      <vt:variant>
        <vt:lpwstr>https://www.forbes.com/sites/alanohnsman/2020/07/10/rivian-snags-25-billion-from-t-rowe-price-amazon-to-take-on-tesla-in-electric-trucks/</vt:lpwstr>
      </vt:variant>
      <vt:variant>
        <vt:lpwstr>17967ae61dd8</vt:lpwstr>
      </vt:variant>
      <vt:variant>
        <vt:i4>4653062</vt:i4>
      </vt:variant>
      <vt:variant>
        <vt:i4>453</vt:i4>
      </vt:variant>
      <vt:variant>
        <vt:i4>0</vt:i4>
      </vt:variant>
      <vt:variant>
        <vt:i4>5</vt:i4>
      </vt:variant>
      <vt:variant>
        <vt:lpwstr>https://www.fjellinjen.no/private/news-archive/congestion-charge-and-environmental-differentiation-rates-in-oslo-article979-967.html</vt:lpwstr>
      </vt:variant>
      <vt:variant>
        <vt:lpwstr/>
      </vt:variant>
      <vt:variant>
        <vt:i4>3080199</vt:i4>
      </vt:variant>
      <vt:variant>
        <vt:i4>450</vt:i4>
      </vt:variant>
      <vt:variant>
        <vt:i4>0</vt:i4>
      </vt:variant>
      <vt:variant>
        <vt:i4>5</vt:i4>
      </vt:variant>
      <vt:variant>
        <vt:lpwstr>C:\Users\omacdonnell\Desktop\The Climate Group (Climate Group, 2020). EV100. Available online at https:\www.theclimategroup.org\project\ev100</vt:lpwstr>
      </vt:variant>
      <vt:variant>
        <vt:lpwstr/>
      </vt:variant>
      <vt:variant>
        <vt:i4>5308507</vt:i4>
      </vt:variant>
      <vt:variant>
        <vt:i4>447</vt:i4>
      </vt:variant>
      <vt:variant>
        <vt:i4>0</vt:i4>
      </vt:variant>
      <vt:variant>
        <vt:i4>5</vt:i4>
      </vt:variant>
      <vt:variant>
        <vt:lpwstr>https://www.fastcompany.com/90297201/in-shanghai-every-ikea-delivery-is-now-made-with-an-electric-vehicle</vt:lpwstr>
      </vt:variant>
      <vt:variant>
        <vt:lpwstr/>
      </vt:variant>
      <vt:variant>
        <vt:i4>2949179</vt:i4>
      </vt:variant>
      <vt:variant>
        <vt:i4>444</vt:i4>
      </vt:variant>
      <vt:variant>
        <vt:i4>0</vt:i4>
      </vt:variant>
      <vt:variant>
        <vt:i4>5</vt:i4>
      </vt:variant>
      <vt:variant>
        <vt:lpwstr>https://www.canada.ca/en/environment-climate-change/services/managing-pollution/energy-production/fuel-regulations/clean-fuel-standard.html</vt:lpwstr>
      </vt:variant>
      <vt:variant>
        <vt:lpwstr/>
      </vt:variant>
      <vt:variant>
        <vt:i4>1900629</vt:i4>
      </vt:variant>
      <vt:variant>
        <vt:i4>441</vt:i4>
      </vt:variant>
      <vt:variant>
        <vt:i4>0</vt:i4>
      </vt:variant>
      <vt:variant>
        <vt:i4>5</vt:i4>
      </vt:variant>
      <vt:variant>
        <vt:lpwstr>https://ec.gc.ca/lcpe-cepa/default.asp?lang=En&amp;n=71EF09D7-1&amp;offset=3</vt:lpwstr>
      </vt:variant>
      <vt:variant>
        <vt:lpwstr/>
      </vt:variant>
      <vt:variant>
        <vt:i4>7995439</vt:i4>
      </vt:variant>
      <vt:variant>
        <vt:i4>438</vt:i4>
      </vt:variant>
      <vt:variant>
        <vt:i4>0</vt:i4>
      </vt:variant>
      <vt:variant>
        <vt:i4>5</vt:i4>
      </vt:variant>
      <vt:variant>
        <vt:lpwstr>http://e-ferryproject.eu/E-ferry-demonstration-area</vt:lpwstr>
      </vt:variant>
      <vt:variant>
        <vt:lpwstr/>
      </vt:variant>
      <vt:variant>
        <vt:i4>1507417</vt:i4>
      </vt:variant>
      <vt:variant>
        <vt:i4>435</vt:i4>
      </vt:variant>
      <vt:variant>
        <vt:i4>0</vt:i4>
      </vt:variant>
      <vt:variant>
        <vt:i4>5</vt:i4>
      </vt:variant>
      <vt:variant>
        <vt:lpwstr>https://www.dbschenker.com/de-en/about/press/corporate-news/sustainable-logistics--db-schenker-opens-first-low-carbon-distribution-terminal-in-norway-594248</vt:lpwstr>
      </vt:variant>
      <vt:variant>
        <vt:lpwstr/>
      </vt:variant>
      <vt:variant>
        <vt:i4>393286</vt:i4>
      </vt:variant>
      <vt:variant>
        <vt:i4>432</vt:i4>
      </vt:variant>
      <vt:variant>
        <vt:i4>0</vt:i4>
      </vt:variant>
      <vt:variant>
        <vt:i4>5</vt:i4>
      </vt:variant>
      <vt:variant>
        <vt:lpwstr>https://www.ceres.org/corporate-electric-vehicle-alliance</vt:lpwstr>
      </vt:variant>
      <vt:variant>
        <vt:lpwstr/>
      </vt:variant>
      <vt:variant>
        <vt:i4>786452</vt:i4>
      </vt:variant>
      <vt:variant>
        <vt:i4>429</vt:i4>
      </vt:variant>
      <vt:variant>
        <vt:i4>0</vt:i4>
      </vt:variant>
      <vt:variant>
        <vt:i4>5</vt:i4>
      </vt:variant>
      <vt:variant>
        <vt:lpwstr>https://www.cbc.ca/news/canada/british-columbia/b-c-introduces-law-to-require-cars-trucks-sold-by-2040-be-zero-emission-1.5093110</vt:lpwstr>
      </vt:variant>
      <vt:variant>
        <vt:lpwstr/>
      </vt:variant>
      <vt:variant>
        <vt:i4>2818108</vt:i4>
      </vt:variant>
      <vt:variant>
        <vt:i4>426</vt:i4>
      </vt:variant>
      <vt:variant>
        <vt:i4>0</vt:i4>
      </vt:variant>
      <vt:variant>
        <vt:i4>5</vt:i4>
      </vt:variant>
      <vt:variant>
        <vt:lpwstr>https://calstart.org/sunline-hvip-10years/</vt:lpwstr>
      </vt:variant>
      <vt:variant>
        <vt:lpwstr/>
      </vt:variant>
      <vt:variant>
        <vt:i4>5439581</vt:i4>
      </vt:variant>
      <vt:variant>
        <vt:i4>423</vt:i4>
      </vt:variant>
      <vt:variant>
        <vt:i4>0</vt:i4>
      </vt:variant>
      <vt:variant>
        <vt:i4>5</vt:i4>
      </vt:variant>
      <vt:variant>
        <vt:lpwstr>https://calstart.org/libraries-publications-i-710_tech_challenges_opps_report-sflb-ashx/</vt:lpwstr>
      </vt:variant>
      <vt:variant>
        <vt:lpwstr/>
      </vt:variant>
      <vt:variant>
        <vt:i4>4325454</vt:i4>
      </vt:variant>
      <vt:variant>
        <vt:i4>420</vt:i4>
      </vt:variant>
      <vt:variant>
        <vt:i4>0</vt:i4>
      </vt:variant>
      <vt:variant>
        <vt:i4>5</vt:i4>
      </vt:variant>
      <vt:variant>
        <vt:lpwstr>https://www.cpuc.ca.gov/WorkArea/DownloadAsset.aspx?id=6442457607</vt:lpwstr>
      </vt:variant>
      <vt:variant>
        <vt:lpwstr/>
      </vt:variant>
      <vt:variant>
        <vt:i4>5898269</vt:i4>
      </vt:variant>
      <vt:variant>
        <vt:i4>417</vt:i4>
      </vt:variant>
      <vt:variant>
        <vt:i4>0</vt:i4>
      </vt:variant>
      <vt:variant>
        <vt:i4>5</vt:i4>
      </vt:variant>
      <vt:variant>
        <vt:lpwstr>https://www.cpuc.ca.gov/sb350te/</vt:lpwstr>
      </vt:variant>
      <vt:variant>
        <vt:lpwstr/>
      </vt:variant>
      <vt:variant>
        <vt:i4>3670116</vt:i4>
      </vt:variant>
      <vt:variant>
        <vt:i4>414</vt:i4>
      </vt:variant>
      <vt:variant>
        <vt:i4>0</vt:i4>
      </vt:variant>
      <vt:variant>
        <vt:i4>5</vt:i4>
      </vt:variant>
      <vt:variant>
        <vt:lpwstr>https://www.energy.ca.gov/rules-and-regulations/energy-suppliers-reporting/clean-energy-and-pollution-reduction-act-sb-350</vt:lpwstr>
      </vt:variant>
      <vt:variant>
        <vt:lpwstr/>
      </vt:variant>
      <vt:variant>
        <vt:i4>3801206</vt:i4>
      </vt:variant>
      <vt:variant>
        <vt:i4>411</vt:i4>
      </vt:variant>
      <vt:variant>
        <vt:i4>0</vt:i4>
      </vt:variant>
      <vt:variant>
        <vt:i4>5</vt:i4>
      </vt:variant>
      <vt:variant>
        <vt:lpwstr>https://dot.ca.gov/programs/traffic-operations/legal-truck-access/ex-zero-emission-vehicle</vt:lpwstr>
      </vt:variant>
      <vt:variant>
        <vt:lpwstr/>
      </vt:variant>
      <vt:variant>
        <vt:i4>7340150</vt:i4>
      </vt:variant>
      <vt:variant>
        <vt:i4>408</vt:i4>
      </vt:variant>
      <vt:variant>
        <vt:i4>0</vt:i4>
      </vt:variant>
      <vt:variant>
        <vt:i4>5</vt:i4>
      </vt:variant>
      <vt:variant>
        <vt:lpwstr>https://ww2.arb.ca.gov/our-work/programs/zero-emission-vehicle-program</vt:lpwstr>
      </vt:variant>
      <vt:variant>
        <vt:lpwstr/>
      </vt:variant>
      <vt:variant>
        <vt:i4>2556024</vt:i4>
      </vt:variant>
      <vt:variant>
        <vt:i4>405</vt:i4>
      </vt:variant>
      <vt:variant>
        <vt:i4>0</vt:i4>
      </vt:variant>
      <vt:variant>
        <vt:i4>5</vt:i4>
      </vt:variant>
      <vt:variant>
        <vt:lpwstr>https://ww2.arb.ca.gov/our-work/programs/advanced-clean-trucks</vt:lpwstr>
      </vt:variant>
      <vt:variant>
        <vt:lpwstr/>
      </vt:variant>
      <vt:variant>
        <vt:i4>6225946</vt:i4>
      </vt:variant>
      <vt:variant>
        <vt:i4>402</vt:i4>
      </vt:variant>
      <vt:variant>
        <vt:i4>0</vt:i4>
      </vt:variant>
      <vt:variant>
        <vt:i4>5</vt:i4>
      </vt:variant>
      <vt:variant>
        <vt:lpwstr>https://ww2.arb.ca.gov/our-work/programs/innovative-clean-transit</vt:lpwstr>
      </vt:variant>
      <vt:variant>
        <vt:lpwstr/>
      </vt:variant>
      <vt:variant>
        <vt:i4>3014767</vt:i4>
      </vt:variant>
      <vt:variant>
        <vt:i4>399</vt:i4>
      </vt:variant>
      <vt:variant>
        <vt:i4>0</vt:i4>
      </vt:variant>
      <vt:variant>
        <vt:i4>5</vt:i4>
      </vt:variant>
      <vt:variant>
        <vt:lpwstr>https://www.californiahvip.org/</vt:lpwstr>
      </vt:variant>
      <vt:variant>
        <vt:lpwstr/>
      </vt:variant>
      <vt:variant>
        <vt:i4>3997805</vt:i4>
      </vt:variant>
      <vt:variant>
        <vt:i4>396</vt:i4>
      </vt:variant>
      <vt:variant>
        <vt:i4>0</vt:i4>
      </vt:variant>
      <vt:variant>
        <vt:i4>5</vt:i4>
      </vt:variant>
      <vt:variant>
        <vt:lpwstr>https://www.californiahvip.org/how-to-participate/</vt:lpwstr>
      </vt:variant>
      <vt:variant>
        <vt:lpwstr>Eligible-Vehicle-Catalog</vt:lpwstr>
      </vt:variant>
      <vt:variant>
        <vt:i4>1507393</vt:i4>
      </vt:variant>
      <vt:variant>
        <vt:i4>393</vt:i4>
      </vt:variant>
      <vt:variant>
        <vt:i4>0</vt:i4>
      </vt:variant>
      <vt:variant>
        <vt:i4>5</vt:i4>
      </vt:variant>
      <vt:variant>
        <vt:lpwstr>https://ww2.arb.ca.gov/our-work/programs/commercial-harbor-craft</vt:lpwstr>
      </vt:variant>
      <vt:variant>
        <vt:lpwstr/>
      </vt:variant>
      <vt:variant>
        <vt:i4>4653069</vt:i4>
      </vt:variant>
      <vt:variant>
        <vt:i4>390</vt:i4>
      </vt:variant>
      <vt:variant>
        <vt:i4>0</vt:i4>
      </vt:variant>
      <vt:variant>
        <vt:i4>5</vt:i4>
      </vt:variant>
      <vt:variant>
        <vt:lpwstr>https://ww2.arb.ca.gov/sites/default/files/2019-09/fy1920fundingplan-appd.pdf</vt:lpwstr>
      </vt:variant>
      <vt:variant>
        <vt:lpwstr/>
      </vt:variant>
      <vt:variant>
        <vt:i4>327683</vt:i4>
      </vt:variant>
      <vt:variant>
        <vt:i4>387</vt:i4>
      </vt:variant>
      <vt:variant>
        <vt:i4>0</vt:i4>
      </vt:variant>
      <vt:variant>
        <vt:i4>5</vt:i4>
      </vt:variant>
      <vt:variant>
        <vt:lpwstr>https://ww3.arb.ca.gov/regact/2018/ict2018/ictfro.pdf</vt:lpwstr>
      </vt:variant>
      <vt:variant>
        <vt:lpwstr/>
      </vt:variant>
      <vt:variant>
        <vt:i4>6357095</vt:i4>
      </vt:variant>
      <vt:variant>
        <vt:i4>384</vt:i4>
      </vt:variant>
      <vt:variant>
        <vt:i4>0</vt:i4>
      </vt:variant>
      <vt:variant>
        <vt:i4>5</vt:i4>
      </vt:variant>
      <vt:variant>
        <vt:lpwstr>https://www.c40.org/other/green-and-healthy-streets</vt:lpwstr>
      </vt:variant>
      <vt:variant>
        <vt:lpwstr/>
      </vt:variant>
      <vt:variant>
        <vt:i4>5767186</vt:i4>
      </vt:variant>
      <vt:variant>
        <vt:i4>381</vt:i4>
      </vt:variant>
      <vt:variant>
        <vt:i4>0</vt:i4>
      </vt:variant>
      <vt:variant>
        <vt:i4>5</vt:i4>
      </vt:variant>
      <vt:variant>
        <vt:lpwstr>https://theicct.org/sites/default/files/BYD EV SEDEMA.pdf</vt:lpwstr>
      </vt:variant>
      <vt:variant>
        <vt:lpwstr/>
      </vt:variant>
      <vt:variant>
        <vt:i4>1900557</vt:i4>
      </vt:variant>
      <vt:variant>
        <vt:i4>378</vt:i4>
      </vt:variant>
      <vt:variant>
        <vt:i4>0</vt:i4>
      </vt:variant>
      <vt:variant>
        <vt:i4>5</vt:i4>
      </vt:variant>
      <vt:variant>
        <vt:lpwstr>https://en.byd.com/truck/</vt:lpwstr>
      </vt:variant>
      <vt:variant>
        <vt:lpwstr/>
      </vt:variant>
      <vt:variant>
        <vt:i4>4784217</vt:i4>
      </vt:variant>
      <vt:variant>
        <vt:i4>375</vt:i4>
      </vt:variant>
      <vt:variant>
        <vt:i4>0</vt:i4>
      </vt:variant>
      <vt:variant>
        <vt:i4>5</vt:i4>
      </vt:variant>
      <vt:variant>
        <vt:lpwstr>https://www.bloomberg.com/news/articles/2019-02-27/in-beijing-you-have-to-win-a-license-lottery-to-buy-a-new-car</vt:lpwstr>
      </vt:variant>
      <vt:variant>
        <vt:lpwstr/>
      </vt:variant>
      <vt:variant>
        <vt:i4>3932210</vt:i4>
      </vt:variant>
      <vt:variant>
        <vt:i4>372</vt:i4>
      </vt:variant>
      <vt:variant>
        <vt:i4>0</vt:i4>
      </vt:variant>
      <vt:variant>
        <vt:i4>5</vt:i4>
      </vt:variant>
      <vt:variant>
        <vt:lpwstr>https://www.bloomberg.com/press-releases/2019-09-26/jetblue-introduces-the-largest-electric-ground-service-equipment-egse-fleet-at-new-york-s-jfk-international-airport-cutting</vt:lpwstr>
      </vt:variant>
      <vt:variant>
        <vt:lpwstr/>
      </vt:variant>
      <vt:variant>
        <vt:i4>3080232</vt:i4>
      </vt:variant>
      <vt:variant>
        <vt:i4>369</vt:i4>
      </vt:variant>
      <vt:variant>
        <vt:i4>0</vt:i4>
      </vt:variant>
      <vt:variant>
        <vt:i4>5</vt:i4>
      </vt:variant>
      <vt:variant>
        <vt:lpwstr>https://afdc.energy.gov/data/10380</vt:lpwstr>
      </vt:variant>
      <vt:variant>
        <vt:lpwstr/>
      </vt:variant>
      <vt:variant>
        <vt:i4>2293877</vt:i4>
      </vt:variant>
      <vt:variant>
        <vt:i4>366</vt:i4>
      </vt:variant>
      <vt:variant>
        <vt:i4>0</vt:i4>
      </vt:variant>
      <vt:variant>
        <vt:i4>5</vt:i4>
      </vt:variant>
      <vt:variant>
        <vt:lpwstr>https://afdc.energy.gov/data/widgets/10309</vt:lpwstr>
      </vt:variant>
      <vt:variant>
        <vt:lpwstr/>
      </vt:variant>
      <vt:variant>
        <vt:i4>4325454</vt:i4>
      </vt:variant>
      <vt:variant>
        <vt:i4>360</vt:i4>
      </vt:variant>
      <vt:variant>
        <vt:i4>0</vt:i4>
      </vt:variant>
      <vt:variant>
        <vt:i4>5</vt:i4>
      </vt:variant>
      <vt:variant>
        <vt:lpwstr>https://www.cpuc.ca.gov/WorkArea/DownloadAsset.aspx?id=6442457607</vt:lpwstr>
      </vt:variant>
      <vt:variant>
        <vt:lpwstr/>
      </vt:variant>
      <vt:variant>
        <vt:i4>5898269</vt:i4>
      </vt:variant>
      <vt:variant>
        <vt:i4>357</vt:i4>
      </vt:variant>
      <vt:variant>
        <vt:i4>0</vt:i4>
      </vt:variant>
      <vt:variant>
        <vt:i4>5</vt:i4>
      </vt:variant>
      <vt:variant>
        <vt:lpwstr>https://www.cpuc.ca.gov/sb350te/</vt:lpwstr>
      </vt:variant>
      <vt:variant>
        <vt:lpwstr/>
      </vt:variant>
      <vt:variant>
        <vt:i4>786452</vt:i4>
      </vt:variant>
      <vt:variant>
        <vt:i4>354</vt:i4>
      </vt:variant>
      <vt:variant>
        <vt:i4>0</vt:i4>
      </vt:variant>
      <vt:variant>
        <vt:i4>5</vt:i4>
      </vt:variant>
      <vt:variant>
        <vt:lpwstr>https://www.cbc.ca/news/canada/british-columbia/b-c-introduces-law-to-require-cars-trucks-sold-by-2040-be-zero-emission-1.5093110</vt:lpwstr>
      </vt:variant>
      <vt:variant>
        <vt:lpwstr/>
      </vt:variant>
      <vt:variant>
        <vt:i4>524308</vt:i4>
      </vt:variant>
      <vt:variant>
        <vt:i4>351</vt:i4>
      </vt:variant>
      <vt:variant>
        <vt:i4>0</vt:i4>
      </vt:variant>
      <vt:variant>
        <vt:i4>5</vt:i4>
      </vt:variant>
      <vt:variant>
        <vt:lpwstr>https://www.greentechmedia.com/articles/read/how-internal-combustion-engines-will-die-out-in-eurasia</vt:lpwstr>
      </vt:variant>
      <vt:variant>
        <vt:lpwstr/>
      </vt:variant>
      <vt:variant>
        <vt:i4>4194310</vt:i4>
      </vt:variant>
      <vt:variant>
        <vt:i4>348</vt:i4>
      </vt:variant>
      <vt:variant>
        <vt:i4>0</vt:i4>
      </vt:variant>
      <vt:variant>
        <vt:i4>5</vt:i4>
      </vt:variant>
      <vt:variant>
        <vt:lpwstr>https://urbanaccessregulations.eu/countries-mainmenu-147/norway-mainmenu-197/oslo</vt:lpwstr>
      </vt:variant>
      <vt:variant>
        <vt:lpwstr/>
      </vt:variant>
      <vt:variant>
        <vt:i4>5373967</vt:i4>
      </vt:variant>
      <vt:variant>
        <vt:i4>336</vt:i4>
      </vt:variant>
      <vt:variant>
        <vt:i4>0</vt:i4>
      </vt:variant>
      <vt:variant>
        <vt:i4>5</vt:i4>
      </vt:variant>
      <vt:variant>
        <vt:lpwstr>https://www.nyserda.ny.gov/-/media/Files/Publications/Research/Transportation/New-York-City-Green-Loading-Zones-Study.pdf</vt:lpwstr>
      </vt:variant>
      <vt:variant>
        <vt:lpwstr/>
      </vt:variant>
      <vt:variant>
        <vt:i4>5439581</vt:i4>
      </vt:variant>
      <vt:variant>
        <vt:i4>333</vt:i4>
      </vt:variant>
      <vt:variant>
        <vt:i4>0</vt:i4>
      </vt:variant>
      <vt:variant>
        <vt:i4>5</vt:i4>
      </vt:variant>
      <vt:variant>
        <vt:lpwstr>https://calstart.org/libraries-publications-i-710_tech_challenges_opps_report-sflb-ashx/</vt:lpwstr>
      </vt:variant>
      <vt:variant>
        <vt:lpwstr/>
      </vt:variant>
      <vt:variant>
        <vt:i4>5439581</vt:i4>
      </vt:variant>
      <vt:variant>
        <vt:i4>330</vt:i4>
      </vt:variant>
      <vt:variant>
        <vt:i4>0</vt:i4>
      </vt:variant>
      <vt:variant>
        <vt:i4>5</vt:i4>
      </vt:variant>
      <vt:variant>
        <vt:lpwstr>https://calstart.org/libraries-publications-i-710_tech_challenges_opps_report-sflb-ashx/</vt:lpwstr>
      </vt:variant>
      <vt:variant>
        <vt:lpwstr/>
      </vt:variant>
      <vt:variant>
        <vt:i4>327744</vt:i4>
      </vt:variant>
      <vt:variant>
        <vt:i4>327</vt:i4>
      </vt:variant>
      <vt:variant>
        <vt:i4>0</vt:i4>
      </vt:variant>
      <vt:variant>
        <vt:i4>5</vt:i4>
      </vt:variant>
      <vt:variant>
        <vt:lpwstr>http://www.cleanairactionplan.org/documents/clean-trucks-program-tariff-change-fact-sheet-sept-2018.pdf/</vt:lpwstr>
      </vt:variant>
      <vt:variant>
        <vt:lpwstr/>
      </vt:variant>
      <vt:variant>
        <vt:i4>589910</vt:i4>
      </vt:variant>
      <vt:variant>
        <vt:i4>321</vt:i4>
      </vt:variant>
      <vt:variant>
        <vt:i4>0</vt:i4>
      </vt:variant>
      <vt:variant>
        <vt:i4>5</vt:i4>
      </vt:variant>
      <vt:variant>
        <vt:lpwstr>https://tfl.gov.uk/modes/driving/ultra-low-emission-zone/ulez-where-and-when</vt:lpwstr>
      </vt:variant>
      <vt:variant>
        <vt:lpwstr/>
      </vt:variant>
      <vt:variant>
        <vt:i4>2097190</vt:i4>
      </vt:variant>
      <vt:variant>
        <vt:i4>318</vt:i4>
      </vt:variant>
      <vt:variant>
        <vt:i4>0</vt:i4>
      </vt:variant>
      <vt:variant>
        <vt:i4>5</vt:i4>
      </vt:variant>
      <vt:variant>
        <vt:lpwstr>https://www.nyserda.ny.gov/All Programs/Programs/Truck Voucher Program</vt:lpwstr>
      </vt:variant>
      <vt:variant>
        <vt:lpwstr/>
      </vt:variant>
      <vt:variant>
        <vt:i4>3014767</vt:i4>
      </vt:variant>
      <vt:variant>
        <vt:i4>315</vt:i4>
      </vt:variant>
      <vt:variant>
        <vt:i4>0</vt:i4>
      </vt:variant>
      <vt:variant>
        <vt:i4>5</vt:i4>
      </vt:variant>
      <vt:variant>
        <vt:lpwstr>https://www.californiahvip.org/</vt:lpwstr>
      </vt:variant>
      <vt:variant>
        <vt:lpwstr/>
      </vt:variant>
      <vt:variant>
        <vt:i4>7340150</vt:i4>
      </vt:variant>
      <vt:variant>
        <vt:i4>312</vt:i4>
      </vt:variant>
      <vt:variant>
        <vt:i4>0</vt:i4>
      </vt:variant>
      <vt:variant>
        <vt:i4>5</vt:i4>
      </vt:variant>
      <vt:variant>
        <vt:lpwstr>https://ww2.arb.ca.gov/our-work/programs/zero-emission-vehicle-program</vt:lpwstr>
      </vt:variant>
      <vt:variant>
        <vt:lpwstr/>
      </vt:variant>
      <vt:variant>
        <vt:i4>4390923</vt:i4>
      </vt:variant>
      <vt:variant>
        <vt:i4>309</vt:i4>
      </vt:variant>
      <vt:variant>
        <vt:i4>0</vt:i4>
      </vt:variant>
      <vt:variant>
        <vt:i4>5</vt:i4>
      </vt:variant>
      <vt:variant>
        <vt:lpwstr>http://toolkit.globaldrivetozero.org/</vt:lpwstr>
      </vt:variant>
      <vt:variant>
        <vt:lpwstr/>
      </vt:variant>
      <vt:variant>
        <vt:i4>6357095</vt:i4>
      </vt:variant>
      <vt:variant>
        <vt:i4>306</vt:i4>
      </vt:variant>
      <vt:variant>
        <vt:i4>0</vt:i4>
      </vt:variant>
      <vt:variant>
        <vt:i4>5</vt:i4>
      </vt:variant>
      <vt:variant>
        <vt:lpwstr>https://www.c40.org/other/green-and-healthy-streets</vt:lpwstr>
      </vt:variant>
      <vt:variant>
        <vt:lpwstr/>
      </vt:variant>
      <vt:variant>
        <vt:i4>7208998</vt:i4>
      </vt:variant>
      <vt:variant>
        <vt:i4>303</vt:i4>
      </vt:variant>
      <vt:variant>
        <vt:i4>0</vt:i4>
      </vt:variant>
      <vt:variant>
        <vt:i4>5</vt:i4>
      </vt:variant>
      <vt:variant>
        <vt:lpwstr>https://globaldrivetozero.org/resources/zero-emission-technology-inventory/</vt:lpwstr>
      </vt:variant>
      <vt:variant>
        <vt:lpwstr/>
      </vt:variant>
      <vt:variant>
        <vt:i4>1966131</vt:i4>
      </vt:variant>
      <vt:variant>
        <vt:i4>104</vt:i4>
      </vt:variant>
      <vt:variant>
        <vt:i4>0</vt:i4>
      </vt:variant>
      <vt:variant>
        <vt:i4>5</vt:i4>
      </vt:variant>
      <vt:variant>
        <vt:lpwstr/>
      </vt:variant>
      <vt:variant>
        <vt:lpwstr>_Toc53043856</vt:lpwstr>
      </vt:variant>
      <vt:variant>
        <vt:i4>1900595</vt:i4>
      </vt:variant>
      <vt:variant>
        <vt:i4>98</vt:i4>
      </vt:variant>
      <vt:variant>
        <vt:i4>0</vt:i4>
      </vt:variant>
      <vt:variant>
        <vt:i4>5</vt:i4>
      </vt:variant>
      <vt:variant>
        <vt:lpwstr/>
      </vt:variant>
      <vt:variant>
        <vt:lpwstr>_Toc53043855</vt:lpwstr>
      </vt:variant>
      <vt:variant>
        <vt:i4>1835059</vt:i4>
      </vt:variant>
      <vt:variant>
        <vt:i4>92</vt:i4>
      </vt:variant>
      <vt:variant>
        <vt:i4>0</vt:i4>
      </vt:variant>
      <vt:variant>
        <vt:i4>5</vt:i4>
      </vt:variant>
      <vt:variant>
        <vt:lpwstr/>
      </vt:variant>
      <vt:variant>
        <vt:lpwstr>_Toc53043854</vt:lpwstr>
      </vt:variant>
      <vt:variant>
        <vt:i4>1769523</vt:i4>
      </vt:variant>
      <vt:variant>
        <vt:i4>86</vt:i4>
      </vt:variant>
      <vt:variant>
        <vt:i4>0</vt:i4>
      </vt:variant>
      <vt:variant>
        <vt:i4>5</vt:i4>
      </vt:variant>
      <vt:variant>
        <vt:lpwstr/>
      </vt:variant>
      <vt:variant>
        <vt:lpwstr>_Toc53043853</vt:lpwstr>
      </vt:variant>
      <vt:variant>
        <vt:i4>1703987</vt:i4>
      </vt:variant>
      <vt:variant>
        <vt:i4>80</vt:i4>
      </vt:variant>
      <vt:variant>
        <vt:i4>0</vt:i4>
      </vt:variant>
      <vt:variant>
        <vt:i4>5</vt:i4>
      </vt:variant>
      <vt:variant>
        <vt:lpwstr/>
      </vt:variant>
      <vt:variant>
        <vt:lpwstr>_Toc53043852</vt:lpwstr>
      </vt:variant>
      <vt:variant>
        <vt:i4>1638451</vt:i4>
      </vt:variant>
      <vt:variant>
        <vt:i4>74</vt:i4>
      </vt:variant>
      <vt:variant>
        <vt:i4>0</vt:i4>
      </vt:variant>
      <vt:variant>
        <vt:i4>5</vt:i4>
      </vt:variant>
      <vt:variant>
        <vt:lpwstr/>
      </vt:variant>
      <vt:variant>
        <vt:lpwstr>_Toc53043851</vt:lpwstr>
      </vt:variant>
      <vt:variant>
        <vt:i4>1572915</vt:i4>
      </vt:variant>
      <vt:variant>
        <vt:i4>68</vt:i4>
      </vt:variant>
      <vt:variant>
        <vt:i4>0</vt:i4>
      </vt:variant>
      <vt:variant>
        <vt:i4>5</vt:i4>
      </vt:variant>
      <vt:variant>
        <vt:lpwstr/>
      </vt:variant>
      <vt:variant>
        <vt:lpwstr>_Toc53043850</vt:lpwstr>
      </vt:variant>
      <vt:variant>
        <vt:i4>1114162</vt:i4>
      </vt:variant>
      <vt:variant>
        <vt:i4>62</vt:i4>
      </vt:variant>
      <vt:variant>
        <vt:i4>0</vt:i4>
      </vt:variant>
      <vt:variant>
        <vt:i4>5</vt:i4>
      </vt:variant>
      <vt:variant>
        <vt:lpwstr/>
      </vt:variant>
      <vt:variant>
        <vt:lpwstr>_Toc53043849</vt:lpwstr>
      </vt:variant>
      <vt:variant>
        <vt:i4>1048626</vt:i4>
      </vt:variant>
      <vt:variant>
        <vt:i4>56</vt:i4>
      </vt:variant>
      <vt:variant>
        <vt:i4>0</vt:i4>
      </vt:variant>
      <vt:variant>
        <vt:i4>5</vt:i4>
      </vt:variant>
      <vt:variant>
        <vt:lpwstr/>
      </vt:variant>
      <vt:variant>
        <vt:lpwstr>_Toc53043848</vt:lpwstr>
      </vt:variant>
      <vt:variant>
        <vt:i4>2031666</vt:i4>
      </vt:variant>
      <vt:variant>
        <vt:i4>50</vt:i4>
      </vt:variant>
      <vt:variant>
        <vt:i4>0</vt:i4>
      </vt:variant>
      <vt:variant>
        <vt:i4>5</vt:i4>
      </vt:variant>
      <vt:variant>
        <vt:lpwstr/>
      </vt:variant>
      <vt:variant>
        <vt:lpwstr>_Toc53043847</vt:lpwstr>
      </vt:variant>
      <vt:variant>
        <vt:i4>1966130</vt:i4>
      </vt:variant>
      <vt:variant>
        <vt:i4>44</vt:i4>
      </vt:variant>
      <vt:variant>
        <vt:i4>0</vt:i4>
      </vt:variant>
      <vt:variant>
        <vt:i4>5</vt:i4>
      </vt:variant>
      <vt:variant>
        <vt:lpwstr/>
      </vt:variant>
      <vt:variant>
        <vt:lpwstr>_Toc53043846</vt:lpwstr>
      </vt:variant>
      <vt:variant>
        <vt:i4>1900594</vt:i4>
      </vt:variant>
      <vt:variant>
        <vt:i4>38</vt:i4>
      </vt:variant>
      <vt:variant>
        <vt:i4>0</vt:i4>
      </vt:variant>
      <vt:variant>
        <vt:i4>5</vt:i4>
      </vt:variant>
      <vt:variant>
        <vt:lpwstr/>
      </vt:variant>
      <vt:variant>
        <vt:lpwstr>_Toc53043845</vt:lpwstr>
      </vt:variant>
      <vt:variant>
        <vt:i4>1835058</vt:i4>
      </vt:variant>
      <vt:variant>
        <vt:i4>32</vt:i4>
      </vt:variant>
      <vt:variant>
        <vt:i4>0</vt:i4>
      </vt:variant>
      <vt:variant>
        <vt:i4>5</vt:i4>
      </vt:variant>
      <vt:variant>
        <vt:lpwstr/>
      </vt:variant>
      <vt:variant>
        <vt:lpwstr>_Toc53043844</vt:lpwstr>
      </vt:variant>
      <vt:variant>
        <vt:i4>1769522</vt:i4>
      </vt:variant>
      <vt:variant>
        <vt:i4>26</vt:i4>
      </vt:variant>
      <vt:variant>
        <vt:i4>0</vt:i4>
      </vt:variant>
      <vt:variant>
        <vt:i4>5</vt:i4>
      </vt:variant>
      <vt:variant>
        <vt:lpwstr/>
      </vt:variant>
      <vt:variant>
        <vt:lpwstr>_Toc53043843</vt:lpwstr>
      </vt:variant>
      <vt:variant>
        <vt:i4>1703986</vt:i4>
      </vt:variant>
      <vt:variant>
        <vt:i4>20</vt:i4>
      </vt:variant>
      <vt:variant>
        <vt:i4>0</vt:i4>
      </vt:variant>
      <vt:variant>
        <vt:i4>5</vt:i4>
      </vt:variant>
      <vt:variant>
        <vt:lpwstr/>
      </vt:variant>
      <vt:variant>
        <vt:lpwstr>_Toc53043842</vt:lpwstr>
      </vt:variant>
      <vt:variant>
        <vt:i4>1638450</vt:i4>
      </vt:variant>
      <vt:variant>
        <vt:i4>14</vt:i4>
      </vt:variant>
      <vt:variant>
        <vt:i4>0</vt:i4>
      </vt:variant>
      <vt:variant>
        <vt:i4>5</vt:i4>
      </vt:variant>
      <vt:variant>
        <vt:lpwstr/>
      </vt:variant>
      <vt:variant>
        <vt:lpwstr>_Toc53043841</vt:lpwstr>
      </vt:variant>
      <vt:variant>
        <vt:i4>1572914</vt:i4>
      </vt:variant>
      <vt:variant>
        <vt:i4>8</vt:i4>
      </vt:variant>
      <vt:variant>
        <vt:i4>0</vt:i4>
      </vt:variant>
      <vt:variant>
        <vt:i4>5</vt:i4>
      </vt:variant>
      <vt:variant>
        <vt:lpwstr/>
      </vt:variant>
      <vt:variant>
        <vt:lpwstr>_Toc53043840</vt:lpwstr>
      </vt:variant>
      <vt:variant>
        <vt:i4>1114165</vt:i4>
      </vt:variant>
      <vt:variant>
        <vt:i4>2</vt:i4>
      </vt:variant>
      <vt:variant>
        <vt:i4>0</vt:i4>
      </vt:variant>
      <vt:variant>
        <vt:i4>5</vt:i4>
      </vt:variant>
      <vt:variant>
        <vt:lpwstr/>
      </vt:variant>
      <vt:variant>
        <vt:lpwstr>_Toc53043839</vt:lpwstr>
      </vt:variant>
      <vt:variant>
        <vt:i4>1638400</vt:i4>
      </vt:variant>
      <vt:variant>
        <vt:i4>42</vt:i4>
      </vt:variant>
      <vt:variant>
        <vt:i4>0</vt:i4>
      </vt:variant>
      <vt:variant>
        <vt:i4>5</vt:i4>
      </vt:variant>
      <vt:variant>
        <vt:lpwstr>https://ww3.arb.ca.gov/regact/2019/evse2019/isor.pdf</vt:lpwstr>
      </vt:variant>
      <vt:variant>
        <vt:lpwstr/>
      </vt:variant>
      <vt:variant>
        <vt:i4>5046309</vt:i4>
      </vt:variant>
      <vt:variant>
        <vt:i4>39</vt:i4>
      </vt:variant>
      <vt:variant>
        <vt:i4>0</vt:i4>
      </vt:variant>
      <vt:variant>
        <vt:i4>5</vt:i4>
      </vt:variant>
      <vt:variant>
        <vt:lpwstr>https://www.pge.com/en_US/small-medium-business/energy-alternatives/clean-vehicles/ev-charge-network/electric-vehicle-rate-plans.page</vt:lpwstr>
      </vt:variant>
      <vt:variant>
        <vt:lpwstr/>
      </vt:variant>
      <vt:variant>
        <vt:i4>3539001</vt:i4>
      </vt:variant>
      <vt:variant>
        <vt:i4>36</vt:i4>
      </vt:variant>
      <vt:variant>
        <vt:i4>0</vt:i4>
      </vt:variant>
      <vt:variant>
        <vt:i4>5</vt:i4>
      </vt:variant>
      <vt:variant>
        <vt:lpwstr>https://www.nypa.gov/services/clean-energy-advisory-services/evolve-ny</vt:lpwstr>
      </vt:variant>
      <vt:variant>
        <vt:lpwstr/>
      </vt:variant>
      <vt:variant>
        <vt:i4>589909</vt:i4>
      </vt:variant>
      <vt:variant>
        <vt:i4>33</vt:i4>
      </vt:variant>
      <vt:variant>
        <vt:i4>0</vt:i4>
      </vt:variant>
      <vt:variant>
        <vt:i4>5</vt:i4>
      </vt:variant>
      <vt:variant>
        <vt:lpwstr>https://www.gov.uk/government/publications/government-vision-for-the-rapid-chargepoint-network-in-england/government-vision-for-the-rapid-chargepoint-network-in-england</vt:lpwstr>
      </vt:variant>
      <vt:variant>
        <vt:lpwstr/>
      </vt:variant>
      <vt:variant>
        <vt:i4>196608</vt:i4>
      </vt:variant>
      <vt:variant>
        <vt:i4>30</vt:i4>
      </vt:variant>
      <vt:variant>
        <vt:i4>0</vt:i4>
      </vt:variant>
      <vt:variant>
        <vt:i4>5</vt:i4>
      </vt:variant>
      <vt:variant>
        <vt:lpwstr>https://www.transportenvironment.org/publications/comparing-hydrogen-and-battery-electric-trucks</vt:lpwstr>
      </vt:variant>
      <vt:variant>
        <vt:lpwstr/>
      </vt:variant>
      <vt:variant>
        <vt:i4>655426</vt:i4>
      </vt:variant>
      <vt:variant>
        <vt:i4>27</vt:i4>
      </vt:variant>
      <vt:variant>
        <vt:i4>0</vt:i4>
      </vt:variant>
      <vt:variant>
        <vt:i4>5</vt:i4>
      </vt:variant>
      <vt:variant>
        <vt:lpwstr>https://op.europa.eu/en/publication-detail/-/publication/e99bedda-ae8e-11e9-9d01-01aa75ed71a1</vt:lpwstr>
      </vt:variant>
      <vt:variant>
        <vt:lpwstr/>
      </vt:variant>
      <vt:variant>
        <vt:i4>7209021</vt:i4>
      </vt:variant>
      <vt:variant>
        <vt:i4>24</vt:i4>
      </vt:variant>
      <vt:variant>
        <vt:i4>0</vt:i4>
      </vt:variant>
      <vt:variant>
        <vt:i4>5</vt:i4>
      </vt:variant>
      <vt:variant>
        <vt:lpwstr>https://baijiahao.baidu.com/s?id=1641822892047745193&amp;wfr=spider&amp;for=pc</vt:lpwstr>
      </vt:variant>
      <vt:variant>
        <vt:lpwstr/>
      </vt:variant>
      <vt:variant>
        <vt:i4>720938</vt:i4>
      </vt:variant>
      <vt:variant>
        <vt:i4>21</vt:i4>
      </vt:variant>
      <vt:variant>
        <vt:i4>0</vt:i4>
      </vt:variant>
      <vt:variant>
        <vt:i4>5</vt:i4>
      </vt:variant>
      <vt:variant>
        <vt:lpwstr>https://www.c40knowledgehub.org/s/article/Zero-Emission-Zones-for-Freight-Lessons-from-the-Netherlands?language=en_US</vt:lpwstr>
      </vt:variant>
      <vt:variant>
        <vt:lpwstr/>
      </vt:variant>
      <vt:variant>
        <vt:i4>4915238</vt:i4>
      </vt:variant>
      <vt:variant>
        <vt:i4>18</vt:i4>
      </vt:variant>
      <vt:variant>
        <vt:i4>0</vt:i4>
      </vt:variant>
      <vt:variant>
        <vt:i4>5</vt:i4>
      </vt:variant>
      <vt:variant>
        <vt:lpwstr>https://calstart.org/wp-content/uploads/2020/09/CALSTART_VIP_White_Paper.pdf</vt:lpwstr>
      </vt:variant>
      <vt:variant>
        <vt:lpwstr/>
      </vt:variant>
      <vt:variant>
        <vt:i4>8060936</vt:i4>
      </vt:variant>
      <vt:variant>
        <vt:i4>15</vt:i4>
      </vt:variant>
      <vt:variant>
        <vt:i4>0</vt:i4>
      </vt:variant>
      <vt:variant>
        <vt:i4>5</vt:i4>
      </vt:variant>
      <vt:variant>
        <vt:lpwstr>https://ec.europa.eu/transport/themes/urban/clean-vehicles-directive_en</vt:lpwstr>
      </vt:variant>
      <vt:variant>
        <vt:lpwstr/>
      </vt:variant>
      <vt:variant>
        <vt:i4>6225987</vt:i4>
      </vt:variant>
      <vt:variant>
        <vt:i4>12</vt:i4>
      </vt:variant>
      <vt:variant>
        <vt:i4>0</vt:i4>
      </vt:variant>
      <vt:variant>
        <vt:i4>5</vt:i4>
      </vt:variant>
      <vt:variant>
        <vt:lpwstr>https://globaldrivetozero.org/2020/02/13/biggest-us-cities-aim-to-drive-to-zero/</vt:lpwstr>
      </vt:variant>
      <vt:variant>
        <vt:lpwstr/>
      </vt:variant>
      <vt:variant>
        <vt:i4>4718623</vt:i4>
      </vt:variant>
      <vt:variant>
        <vt:i4>9</vt:i4>
      </vt:variant>
      <vt:variant>
        <vt:i4>0</vt:i4>
      </vt:variant>
      <vt:variant>
        <vt:i4>5</vt:i4>
      </vt:variant>
      <vt:variant>
        <vt:lpwstr>https://theicct.org/sites/default/files/publications/ev-capitals-update-sept2020.pdf</vt:lpwstr>
      </vt:variant>
      <vt:variant>
        <vt:lpwstr/>
      </vt:variant>
      <vt:variant>
        <vt:i4>1769549</vt:i4>
      </vt:variant>
      <vt:variant>
        <vt:i4>6</vt:i4>
      </vt:variant>
      <vt:variant>
        <vt:i4>0</vt:i4>
      </vt:variant>
      <vt:variant>
        <vt:i4>5</vt:i4>
      </vt:variant>
      <vt:variant>
        <vt:lpwstr>https://www.popularmechanics.com/technology/infrastructure/a28748306/worlds-largest-electric-vehicle-dump-truck/</vt:lpwstr>
      </vt:variant>
      <vt:variant>
        <vt:lpwstr/>
      </vt:variant>
      <vt:variant>
        <vt:i4>4194323</vt:i4>
      </vt:variant>
      <vt:variant>
        <vt:i4>3</vt:i4>
      </vt:variant>
      <vt:variant>
        <vt:i4>0</vt:i4>
      </vt:variant>
      <vt:variant>
        <vt:i4>5</vt:i4>
      </vt:variant>
      <vt:variant>
        <vt:lpwstr>https://www.portoflosangeles.org/environment/air-quality/zero-emissions-technologies</vt:lpwstr>
      </vt:variant>
      <vt:variant>
        <vt:lpwstr/>
      </vt:variant>
      <vt:variant>
        <vt:i4>655390</vt:i4>
      </vt:variant>
      <vt:variant>
        <vt:i4>0</vt:i4>
      </vt:variant>
      <vt:variant>
        <vt:i4>0</vt:i4>
      </vt:variant>
      <vt:variant>
        <vt:i4>5</vt:i4>
      </vt:variant>
      <vt:variant>
        <vt:lpwstr>https://www.trucks.com/2019/11/07/toyota-unveils-hydrogen-utility-truck/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Welch</dc:creator>
  <cp:keywords/>
  <dc:description/>
  <cp:lastModifiedBy>Dan Welch</cp:lastModifiedBy>
  <cp:revision>668</cp:revision>
  <cp:lastPrinted>2020-10-08T23:16:00Z</cp:lastPrinted>
  <dcterms:created xsi:type="dcterms:W3CDTF">2020-09-22T18:21:00Z</dcterms:created>
  <dcterms:modified xsi:type="dcterms:W3CDTF">2020-10-08T23:16:00Z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0x010100BEEF1764FB0D7C43B6F8C9A564A08284</vt:lpwstr>
  </property>
</Properties>
</file>